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A3" w:rsidRPr="00EE6735" w:rsidRDefault="004E67A3" w:rsidP="004E67A3">
      <w:pPr>
        <w:pStyle w:val="Ttulo"/>
        <w:jc w:val="center"/>
        <w:rPr>
          <w:rFonts w:ascii="Cambria" w:hAnsi="Cambria"/>
          <w:b/>
          <w:bCs/>
          <w:iCs/>
          <w:color w:val="403152"/>
          <w:sz w:val="44"/>
          <w:szCs w:val="44"/>
          <w:u w:val="single"/>
          <w:lang w:val="es-AR"/>
        </w:rPr>
      </w:pPr>
      <w:r w:rsidRPr="00EE6735">
        <w:rPr>
          <w:rFonts w:ascii="Cambria" w:hAnsi="Cambria"/>
          <w:b/>
          <w:bCs/>
          <w:iCs/>
          <w:color w:val="403152"/>
          <w:sz w:val="44"/>
          <w:szCs w:val="44"/>
          <w:u w:val="single"/>
          <w:lang w:val="es-AR"/>
        </w:rPr>
        <w:t>Municipalidad de la Ciudad de Córdoba</w:t>
      </w:r>
    </w:p>
    <w:p w:rsidR="004E67A3" w:rsidRPr="00BF4758" w:rsidRDefault="004E67A3" w:rsidP="004E67A3">
      <w:pPr>
        <w:pStyle w:val="Textoindependiente3"/>
        <w:jc w:val="center"/>
        <w:rPr>
          <w:rFonts w:ascii="Cambria" w:hAnsi="Cambria"/>
          <w:b/>
          <w:bCs/>
          <w:i w:val="0"/>
          <w:iCs/>
          <w:color w:val="403152"/>
          <w:sz w:val="44"/>
          <w:szCs w:val="44"/>
          <w:lang w:val="es-AR"/>
        </w:rPr>
      </w:pPr>
      <w:r w:rsidRPr="00BF4758">
        <w:rPr>
          <w:rFonts w:ascii="Cambria" w:hAnsi="Cambria"/>
          <w:b/>
          <w:bCs/>
          <w:i w:val="0"/>
          <w:iCs/>
          <w:color w:val="403152"/>
          <w:sz w:val="44"/>
          <w:szCs w:val="44"/>
          <w:lang w:val="es-AR"/>
        </w:rPr>
        <w:t>Año 201</w:t>
      </w:r>
      <w:r w:rsidR="003A6CD4">
        <w:rPr>
          <w:rFonts w:ascii="Cambria" w:hAnsi="Cambria"/>
          <w:b/>
          <w:bCs/>
          <w:i w:val="0"/>
          <w:iCs/>
          <w:color w:val="403152"/>
          <w:sz w:val="44"/>
          <w:szCs w:val="44"/>
          <w:lang w:val="es-AR"/>
        </w:rPr>
        <w:t>9</w:t>
      </w:r>
    </w:p>
    <w:p w:rsidR="004E67A3" w:rsidRDefault="004E67A3" w:rsidP="004E67A3">
      <w:pPr>
        <w:pStyle w:val="Textoindependiente3"/>
        <w:jc w:val="center"/>
        <w:rPr>
          <w:rFonts w:ascii="Cambria" w:hAnsi="Cambria"/>
          <w:b/>
          <w:bCs/>
          <w:i w:val="0"/>
          <w:iCs/>
          <w:color w:val="403152"/>
          <w:sz w:val="44"/>
          <w:szCs w:val="44"/>
          <w:lang w:val="es-AR"/>
        </w:rPr>
      </w:pPr>
      <w:r>
        <w:rPr>
          <w:rFonts w:ascii="Cambria" w:hAnsi="Cambria"/>
          <w:b/>
          <w:bCs/>
          <w:i w:val="0"/>
          <w:iCs/>
          <w:color w:val="403152"/>
          <w:sz w:val="44"/>
          <w:szCs w:val="44"/>
          <w:lang w:val="es-AR"/>
        </w:rPr>
        <w:t xml:space="preserve">SERIE </w:t>
      </w:r>
      <w:r w:rsidR="00FD42C2">
        <w:rPr>
          <w:rFonts w:ascii="Cambria" w:hAnsi="Cambria"/>
          <w:b/>
          <w:bCs/>
          <w:i w:val="0"/>
          <w:iCs/>
          <w:color w:val="403152"/>
          <w:sz w:val="44"/>
          <w:szCs w:val="44"/>
          <w:lang w:val="es-AR"/>
        </w:rPr>
        <w:t>3</w:t>
      </w:r>
      <w:r w:rsidR="00E356A3">
        <w:rPr>
          <w:rFonts w:ascii="Cambria" w:hAnsi="Cambria"/>
          <w:b/>
          <w:bCs/>
          <w:i w:val="0"/>
          <w:iCs/>
          <w:color w:val="403152"/>
          <w:sz w:val="44"/>
          <w:szCs w:val="44"/>
          <w:lang w:val="es-AR"/>
        </w:rPr>
        <w:t>2</w:t>
      </w:r>
      <w:r>
        <w:rPr>
          <w:rFonts w:ascii="Cambria" w:hAnsi="Cambria"/>
          <w:b/>
          <w:bCs/>
          <w:i w:val="0"/>
          <w:iCs/>
          <w:color w:val="403152"/>
          <w:sz w:val="44"/>
          <w:szCs w:val="44"/>
          <w:lang w:val="es-AR"/>
        </w:rPr>
        <w:t xml:space="preserve"> </w:t>
      </w:r>
      <w:r w:rsidRPr="00BF4758">
        <w:rPr>
          <w:rFonts w:ascii="Cambria" w:hAnsi="Cambria"/>
          <w:b/>
          <w:bCs/>
          <w:i w:val="0"/>
          <w:iCs/>
          <w:color w:val="403152"/>
          <w:sz w:val="44"/>
          <w:szCs w:val="44"/>
          <w:lang w:val="es-AR"/>
        </w:rPr>
        <w:t>por V</w:t>
      </w:r>
      <w:r w:rsidRPr="00BF4758">
        <w:rPr>
          <w:rFonts w:ascii="Cambria" w:hAnsi="Cambria"/>
          <w:b/>
          <w:bCs/>
          <w:i w:val="0"/>
          <w:iCs/>
          <w:color w:val="403152"/>
          <w:sz w:val="44"/>
          <w:szCs w:val="44"/>
        </w:rPr>
        <w:t>/</w:t>
      </w:r>
      <w:r w:rsidRPr="00BF4758">
        <w:rPr>
          <w:rFonts w:ascii="Cambria" w:hAnsi="Cambria"/>
          <w:b/>
          <w:bCs/>
          <w:i w:val="0"/>
          <w:iCs/>
          <w:color w:val="403152"/>
          <w:sz w:val="44"/>
          <w:szCs w:val="44"/>
          <w:lang w:val="es-AR"/>
        </w:rPr>
        <w:t>N</w:t>
      </w:r>
      <w:r>
        <w:rPr>
          <w:rFonts w:ascii="Cambria" w:hAnsi="Cambria"/>
          <w:b/>
          <w:bCs/>
          <w:i w:val="0"/>
          <w:iCs/>
          <w:color w:val="403152"/>
          <w:sz w:val="44"/>
          <w:szCs w:val="44"/>
          <w:lang w:val="es-AR"/>
        </w:rPr>
        <w:t xml:space="preserve"> de Hasta </w:t>
      </w:r>
      <w:r w:rsidR="001F620C">
        <w:rPr>
          <w:rFonts w:ascii="Cambria" w:hAnsi="Cambria"/>
          <w:b/>
          <w:bCs/>
          <w:i w:val="0"/>
          <w:iCs/>
          <w:color w:val="403152"/>
          <w:sz w:val="44"/>
          <w:szCs w:val="44"/>
          <w:lang w:val="es-AR"/>
        </w:rPr>
        <w:t xml:space="preserve">$ </w:t>
      </w:r>
      <w:r w:rsidR="00EE6735">
        <w:rPr>
          <w:rFonts w:ascii="Cambria" w:hAnsi="Cambria"/>
          <w:b/>
          <w:bCs/>
          <w:i w:val="0"/>
          <w:iCs/>
          <w:color w:val="403152"/>
          <w:sz w:val="44"/>
          <w:szCs w:val="44"/>
          <w:lang w:val="es-AR"/>
        </w:rPr>
        <w:t>200.</w:t>
      </w:r>
      <w:r>
        <w:rPr>
          <w:rFonts w:ascii="Cambria" w:hAnsi="Cambria"/>
          <w:b/>
          <w:bCs/>
          <w:i w:val="0"/>
          <w:iCs/>
          <w:color w:val="403152"/>
          <w:sz w:val="44"/>
          <w:szCs w:val="44"/>
          <w:lang w:val="es-AR"/>
        </w:rPr>
        <w:t>000.000</w:t>
      </w:r>
      <w:r w:rsidR="00EE6735">
        <w:rPr>
          <w:rFonts w:ascii="Cambria" w:hAnsi="Cambria"/>
          <w:b/>
          <w:bCs/>
          <w:i w:val="0"/>
          <w:iCs/>
          <w:color w:val="403152"/>
          <w:sz w:val="44"/>
          <w:szCs w:val="44"/>
          <w:lang w:val="es-AR"/>
        </w:rPr>
        <w:t xml:space="preserve"> ampliable hasta $ </w:t>
      </w:r>
      <w:r w:rsidR="003A6CD4">
        <w:rPr>
          <w:rFonts w:ascii="Cambria" w:hAnsi="Cambria"/>
          <w:b/>
          <w:bCs/>
          <w:i w:val="0"/>
          <w:iCs/>
          <w:color w:val="403152"/>
          <w:sz w:val="44"/>
          <w:szCs w:val="44"/>
          <w:lang w:val="es-AR"/>
        </w:rPr>
        <w:t>350</w:t>
      </w:r>
      <w:r w:rsidR="00EE6735">
        <w:rPr>
          <w:rFonts w:ascii="Cambria" w:hAnsi="Cambria"/>
          <w:b/>
          <w:bCs/>
          <w:i w:val="0"/>
          <w:iCs/>
          <w:color w:val="403152"/>
          <w:sz w:val="44"/>
          <w:szCs w:val="44"/>
          <w:lang w:val="es-AR"/>
        </w:rPr>
        <w:t>.000.000</w:t>
      </w:r>
    </w:p>
    <w:tbl>
      <w:tblPr>
        <w:tblW w:w="10169" w:type="dxa"/>
        <w:jc w:val="center"/>
        <w:tblLook w:val="04A0"/>
      </w:tblPr>
      <w:tblGrid>
        <w:gridCol w:w="10169"/>
      </w:tblGrid>
      <w:tr w:rsidR="004E67A3" w:rsidTr="004B50CC">
        <w:trPr>
          <w:trHeight w:val="1133"/>
          <w:jc w:val="center"/>
        </w:trPr>
        <w:tc>
          <w:tcPr>
            <w:tcW w:w="10169" w:type="dxa"/>
            <w:shd w:val="clear" w:color="auto" w:fill="auto"/>
            <w:vAlign w:val="center"/>
          </w:tcPr>
          <w:p w:rsidR="004E67A3" w:rsidRPr="00EE6735" w:rsidRDefault="004E67A3" w:rsidP="004B50CC">
            <w:pPr>
              <w:rPr>
                <w:lang w:val="es-ES"/>
              </w:rPr>
            </w:pPr>
          </w:p>
          <w:p w:rsidR="004E67A3" w:rsidRPr="00C666CF" w:rsidRDefault="004E67A3" w:rsidP="004B50CC"/>
          <w:p w:rsidR="004E67A3" w:rsidRPr="004B50CC" w:rsidRDefault="004E67A3" w:rsidP="004B50CC">
            <w:pPr>
              <w:jc w:val="center"/>
              <w:rPr>
                <w:rFonts w:ascii="Cambria" w:hAnsi="Cambria"/>
                <w:b/>
                <w:sz w:val="32"/>
                <w:szCs w:val="32"/>
              </w:rPr>
            </w:pPr>
            <w:r w:rsidRPr="004B50CC">
              <w:rPr>
                <w:rFonts w:ascii="Cambria" w:hAnsi="Cambria"/>
                <w:b/>
                <w:sz w:val="32"/>
                <w:szCs w:val="32"/>
              </w:rPr>
              <w:t>Participantes y Roles</w:t>
            </w:r>
          </w:p>
          <w:tbl>
            <w:tblPr>
              <w:tblpPr w:leftFromText="141" w:rightFromText="141" w:vertAnchor="text" w:horzAnchor="margin" w:tblpY="73"/>
              <w:tblOverlap w:val="neve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4"/>
              <w:gridCol w:w="6339"/>
            </w:tblGrid>
            <w:tr w:rsidR="004E67A3" w:rsidRPr="00D9047A" w:rsidTr="004B50CC">
              <w:trPr>
                <w:trHeight w:val="431"/>
              </w:trPr>
              <w:tc>
                <w:tcPr>
                  <w:tcW w:w="3604" w:type="dxa"/>
                  <w:vAlign w:val="center"/>
                </w:tcPr>
                <w:p w:rsidR="004E67A3" w:rsidRPr="008342D3" w:rsidRDefault="004E67A3" w:rsidP="004B50CC">
                  <w:pPr>
                    <w:rPr>
                      <w:rFonts w:ascii="Cambria" w:hAnsi="Cambria"/>
                      <w:b/>
                      <w:color w:val="403152"/>
                      <w:sz w:val="24"/>
                    </w:rPr>
                  </w:pPr>
                  <w:r w:rsidRPr="008342D3">
                    <w:rPr>
                      <w:rFonts w:ascii="Cambria" w:hAnsi="Cambria"/>
                      <w:b/>
                      <w:color w:val="403152"/>
                      <w:sz w:val="24"/>
                    </w:rPr>
                    <w:t>Emisor</w:t>
                  </w:r>
                </w:p>
              </w:tc>
              <w:tc>
                <w:tcPr>
                  <w:tcW w:w="6339" w:type="dxa"/>
                  <w:vAlign w:val="center"/>
                </w:tcPr>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 xml:space="preserve">Municipalidad de la  Ciudad de Córdoba </w:t>
                  </w:r>
                </w:p>
              </w:tc>
            </w:tr>
            <w:tr w:rsidR="004E67A3" w:rsidRPr="00D9047A" w:rsidTr="004B50CC">
              <w:trPr>
                <w:trHeight w:val="431"/>
              </w:trPr>
              <w:tc>
                <w:tcPr>
                  <w:tcW w:w="3604" w:type="dxa"/>
                  <w:vAlign w:val="center"/>
                </w:tcPr>
                <w:p w:rsidR="004E67A3" w:rsidRPr="00D9047A" w:rsidRDefault="004E67A3" w:rsidP="004B50CC">
                  <w:pPr>
                    <w:rPr>
                      <w:rFonts w:ascii="Cambria" w:hAnsi="Cambria"/>
                      <w:b/>
                      <w:color w:val="403152"/>
                      <w:sz w:val="24"/>
                    </w:rPr>
                  </w:pPr>
                  <w:r w:rsidRPr="00D9047A">
                    <w:rPr>
                      <w:rFonts w:ascii="Cambria" w:hAnsi="Cambria"/>
                      <w:b/>
                      <w:color w:val="403152"/>
                      <w:sz w:val="24"/>
                    </w:rPr>
                    <w:t>Organizador de la Emisión y Agente de Administración de la Garantía y el Pago</w:t>
                  </w:r>
                </w:p>
              </w:tc>
              <w:tc>
                <w:tcPr>
                  <w:tcW w:w="6339" w:type="dxa"/>
                  <w:vAlign w:val="center"/>
                </w:tcPr>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BMR mandatos y negocios S.A.</w:t>
                  </w:r>
                </w:p>
              </w:tc>
            </w:tr>
            <w:tr w:rsidR="004E67A3" w:rsidRPr="00D9047A" w:rsidTr="004B50CC">
              <w:trPr>
                <w:trHeight w:val="431"/>
              </w:trPr>
              <w:tc>
                <w:tcPr>
                  <w:tcW w:w="3604" w:type="dxa"/>
                  <w:vAlign w:val="center"/>
                </w:tcPr>
                <w:p w:rsidR="004E67A3" w:rsidRPr="00D9047A" w:rsidRDefault="004E67A3" w:rsidP="004B50CC">
                  <w:pPr>
                    <w:rPr>
                      <w:rFonts w:ascii="Cambria" w:hAnsi="Cambria"/>
                      <w:b/>
                      <w:color w:val="403152"/>
                      <w:sz w:val="24"/>
                    </w:rPr>
                  </w:pPr>
                  <w:r w:rsidRPr="00D9047A">
                    <w:rPr>
                      <w:rFonts w:ascii="Cambria" w:hAnsi="Cambria"/>
                      <w:b/>
                      <w:color w:val="403152"/>
                      <w:sz w:val="24"/>
                    </w:rPr>
                    <w:t>Organizador de la Colocación y Agente liquidador</w:t>
                  </w:r>
                </w:p>
              </w:tc>
              <w:tc>
                <w:tcPr>
                  <w:tcW w:w="6339" w:type="dxa"/>
                  <w:vAlign w:val="center"/>
                </w:tcPr>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Mercado Argentino de Valores S.A. (en adelante MAV)</w:t>
                  </w:r>
                </w:p>
              </w:tc>
            </w:tr>
            <w:tr w:rsidR="004E67A3" w:rsidRPr="008342D3" w:rsidTr="004B50CC">
              <w:trPr>
                <w:trHeight w:val="1817"/>
              </w:trPr>
              <w:tc>
                <w:tcPr>
                  <w:tcW w:w="3604" w:type="dxa"/>
                  <w:vAlign w:val="center"/>
                </w:tcPr>
                <w:p w:rsidR="004E67A3" w:rsidRPr="008342D3" w:rsidRDefault="004E67A3" w:rsidP="004B50CC">
                  <w:pPr>
                    <w:rPr>
                      <w:rFonts w:ascii="Cambria" w:hAnsi="Cambria"/>
                      <w:b/>
                      <w:color w:val="403152"/>
                      <w:sz w:val="24"/>
                    </w:rPr>
                  </w:pPr>
                  <w:r w:rsidRPr="008342D3">
                    <w:rPr>
                      <w:rFonts w:ascii="Cambria" w:hAnsi="Cambria"/>
                      <w:b/>
                      <w:color w:val="403152"/>
                      <w:sz w:val="24"/>
                    </w:rPr>
                    <w:t>Colocadores</w:t>
                  </w:r>
                </w:p>
              </w:tc>
              <w:tc>
                <w:tcPr>
                  <w:tcW w:w="6339" w:type="dxa"/>
                  <w:vAlign w:val="center"/>
                </w:tcPr>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 xml:space="preserve">Agentes Miembros del Mercado Argentino de Valores S.A. </w:t>
                  </w:r>
                </w:p>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Banco de la Ciudad de Buenos Aires</w:t>
                  </w:r>
                </w:p>
                <w:p w:rsidR="004E67A3" w:rsidRDefault="004E67A3" w:rsidP="004B50CC">
                  <w:pPr>
                    <w:rPr>
                      <w:rFonts w:ascii="Cambria" w:hAnsi="Cambria"/>
                      <w:b/>
                      <w:smallCaps/>
                      <w:color w:val="403152"/>
                      <w:sz w:val="24"/>
                    </w:rPr>
                  </w:pPr>
                  <w:r w:rsidRPr="00D9047A">
                    <w:rPr>
                      <w:rFonts w:ascii="Cambria" w:hAnsi="Cambria"/>
                      <w:b/>
                      <w:smallCaps/>
                      <w:color w:val="403152"/>
                      <w:sz w:val="24"/>
                    </w:rPr>
                    <w:t xml:space="preserve">Banco de Servicios y Transacciones S.A. </w:t>
                  </w:r>
                </w:p>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Estructuras y Mandatos S.A.</w:t>
                  </w:r>
                </w:p>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Macro Securities S.A</w:t>
                  </w:r>
                </w:p>
                <w:p w:rsidR="004E67A3" w:rsidRPr="008342D3" w:rsidRDefault="004E67A3" w:rsidP="004549E4">
                  <w:pPr>
                    <w:rPr>
                      <w:rFonts w:ascii="Cambria" w:hAnsi="Cambria"/>
                      <w:b/>
                      <w:smallCaps/>
                      <w:color w:val="403152"/>
                      <w:sz w:val="24"/>
                    </w:rPr>
                  </w:pPr>
                  <w:r w:rsidRPr="00D9047A">
                    <w:rPr>
                      <w:rFonts w:ascii="Cambria" w:hAnsi="Cambria"/>
                      <w:b/>
                      <w:smallCaps/>
                      <w:color w:val="403152"/>
                      <w:sz w:val="24"/>
                    </w:rPr>
                    <w:t>Puente Hnos. S.A</w:t>
                  </w:r>
                </w:p>
              </w:tc>
            </w:tr>
            <w:tr w:rsidR="004E67A3" w:rsidRPr="00D9047A" w:rsidTr="004B50CC">
              <w:trPr>
                <w:trHeight w:val="431"/>
              </w:trPr>
              <w:tc>
                <w:tcPr>
                  <w:tcW w:w="3604" w:type="dxa"/>
                  <w:vAlign w:val="center"/>
                </w:tcPr>
                <w:p w:rsidR="004E67A3" w:rsidRPr="008342D3" w:rsidRDefault="004E67A3" w:rsidP="004B50CC">
                  <w:pPr>
                    <w:rPr>
                      <w:rFonts w:ascii="Cambria" w:hAnsi="Cambria"/>
                      <w:b/>
                      <w:color w:val="403152"/>
                      <w:sz w:val="24"/>
                    </w:rPr>
                  </w:pPr>
                  <w:r w:rsidRPr="008342D3">
                    <w:rPr>
                      <w:rFonts w:ascii="Cambria" w:hAnsi="Cambria"/>
                      <w:b/>
                      <w:color w:val="403152"/>
                      <w:sz w:val="24"/>
                    </w:rPr>
                    <w:t>Calificadora de Riesgo</w:t>
                  </w:r>
                </w:p>
              </w:tc>
              <w:tc>
                <w:tcPr>
                  <w:tcW w:w="6339" w:type="dxa"/>
                  <w:vAlign w:val="center"/>
                </w:tcPr>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Moody´s Latin America Calificadora de Riesgo S.A.</w:t>
                  </w:r>
                </w:p>
              </w:tc>
            </w:tr>
            <w:tr w:rsidR="004E67A3" w:rsidRPr="008342D3" w:rsidTr="004B50CC">
              <w:trPr>
                <w:trHeight w:val="431"/>
              </w:trPr>
              <w:tc>
                <w:tcPr>
                  <w:tcW w:w="3604" w:type="dxa"/>
                  <w:vAlign w:val="center"/>
                </w:tcPr>
                <w:p w:rsidR="004E67A3" w:rsidRPr="00D9047A" w:rsidRDefault="004E67A3" w:rsidP="004B50CC">
                  <w:pPr>
                    <w:rPr>
                      <w:rFonts w:ascii="Cambria" w:hAnsi="Cambria"/>
                      <w:b/>
                      <w:color w:val="403152"/>
                      <w:sz w:val="24"/>
                    </w:rPr>
                  </w:pPr>
                  <w:r w:rsidRPr="00D9047A">
                    <w:rPr>
                      <w:rFonts w:ascii="Cambria" w:hAnsi="Cambria"/>
                      <w:b/>
                      <w:color w:val="403152"/>
                      <w:sz w:val="24"/>
                    </w:rPr>
                    <w:t>Asesor legal de la transacción</w:t>
                  </w:r>
                </w:p>
              </w:tc>
              <w:tc>
                <w:tcPr>
                  <w:tcW w:w="6339" w:type="dxa"/>
                  <w:vAlign w:val="center"/>
                </w:tcPr>
                <w:p w:rsidR="004E67A3" w:rsidRPr="008342D3" w:rsidRDefault="004E67A3" w:rsidP="004B50CC">
                  <w:pPr>
                    <w:rPr>
                      <w:rFonts w:ascii="Cambria" w:hAnsi="Cambria"/>
                      <w:b/>
                      <w:smallCaps/>
                      <w:color w:val="403152"/>
                      <w:sz w:val="24"/>
                    </w:rPr>
                  </w:pPr>
                  <w:r w:rsidRPr="008342D3">
                    <w:rPr>
                      <w:rFonts w:ascii="Cambria" w:hAnsi="Cambria"/>
                      <w:b/>
                      <w:smallCaps/>
                      <w:color w:val="403152"/>
                      <w:sz w:val="24"/>
                    </w:rPr>
                    <w:t>Nicholson y Cano Abogados</w:t>
                  </w:r>
                </w:p>
              </w:tc>
            </w:tr>
            <w:tr w:rsidR="004E67A3" w:rsidRPr="00D9047A" w:rsidTr="004B50CC">
              <w:trPr>
                <w:trHeight w:val="431"/>
              </w:trPr>
              <w:tc>
                <w:tcPr>
                  <w:tcW w:w="3604" w:type="dxa"/>
                  <w:vAlign w:val="center"/>
                </w:tcPr>
                <w:p w:rsidR="004E67A3" w:rsidRPr="008342D3" w:rsidRDefault="004E67A3" w:rsidP="004B50CC">
                  <w:pPr>
                    <w:rPr>
                      <w:rFonts w:ascii="Cambria" w:hAnsi="Cambria"/>
                      <w:b/>
                      <w:color w:val="403152"/>
                      <w:sz w:val="24"/>
                    </w:rPr>
                  </w:pPr>
                  <w:r w:rsidRPr="008342D3">
                    <w:rPr>
                      <w:rFonts w:ascii="Cambria" w:hAnsi="Cambria"/>
                      <w:b/>
                      <w:color w:val="403152"/>
                      <w:sz w:val="24"/>
                    </w:rPr>
                    <w:t xml:space="preserve">Asesor Financiero del Emisor </w:t>
                  </w:r>
                </w:p>
              </w:tc>
              <w:tc>
                <w:tcPr>
                  <w:tcW w:w="6339" w:type="dxa"/>
                  <w:vAlign w:val="center"/>
                </w:tcPr>
                <w:p w:rsidR="004E67A3" w:rsidRPr="00D9047A" w:rsidRDefault="004E67A3" w:rsidP="004B50CC">
                  <w:pPr>
                    <w:rPr>
                      <w:rFonts w:ascii="Cambria" w:hAnsi="Cambria"/>
                      <w:b/>
                      <w:smallCaps/>
                      <w:color w:val="403152"/>
                      <w:sz w:val="24"/>
                    </w:rPr>
                  </w:pPr>
                  <w:r w:rsidRPr="00D9047A">
                    <w:rPr>
                      <w:rFonts w:ascii="Cambria" w:hAnsi="Cambria"/>
                      <w:b/>
                      <w:smallCaps/>
                      <w:color w:val="403152"/>
                      <w:sz w:val="24"/>
                    </w:rPr>
                    <w:t>Estructuras y Mandatos  S.A.</w:t>
                  </w:r>
                </w:p>
              </w:tc>
            </w:tr>
          </w:tbl>
          <w:p w:rsidR="004E67A3" w:rsidRPr="004B50CC" w:rsidRDefault="004E67A3" w:rsidP="004B50CC">
            <w:pPr>
              <w:jc w:val="center"/>
              <w:rPr>
                <w:b/>
              </w:rPr>
            </w:pPr>
          </w:p>
        </w:tc>
      </w:tr>
      <w:tr w:rsidR="004E67A3" w:rsidRPr="00D9047A" w:rsidTr="004B50CC">
        <w:trPr>
          <w:trHeight w:val="1430"/>
          <w:jc w:val="center"/>
        </w:trPr>
        <w:tc>
          <w:tcPr>
            <w:tcW w:w="10169" w:type="dxa"/>
            <w:shd w:val="clear" w:color="auto" w:fill="auto"/>
          </w:tcPr>
          <w:p w:rsidR="004E67A3" w:rsidRPr="004B50CC" w:rsidRDefault="004E67A3" w:rsidP="004B50CC">
            <w:pPr>
              <w:pStyle w:val="Ttulo2"/>
              <w:rPr>
                <w:rFonts w:ascii="Cambria" w:hAnsi="Cambria"/>
                <w:b/>
                <w:color w:val="403152"/>
                <w:sz w:val="32"/>
                <w:lang w:val="es-AR"/>
              </w:rPr>
            </w:pPr>
            <w:r w:rsidRPr="004B50CC">
              <w:rPr>
                <w:rFonts w:ascii="Cambria" w:hAnsi="Cambria"/>
                <w:b/>
                <w:color w:val="403152"/>
                <w:sz w:val="32"/>
                <w:lang w:val="es-AR"/>
              </w:rPr>
              <w:t>Atributos financieros</w:t>
            </w:r>
          </w:p>
          <w:p w:rsidR="004E67A3" w:rsidRPr="004B50CC" w:rsidRDefault="004E67A3" w:rsidP="004B50CC">
            <w:pPr>
              <w:rPr>
                <w:lang w:val="es-ES"/>
              </w:rPr>
            </w:pP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70" w:type="dxa"/>
                <w:right w:w="70" w:type="dxa"/>
              </w:tblCellMar>
              <w:tblLook w:val="04A0"/>
            </w:tblPr>
            <w:tblGrid>
              <w:gridCol w:w="1534"/>
              <w:gridCol w:w="2417"/>
              <w:gridCol w:w="2730"/>
              <w:gridCol w:w="1533"/>
            </w:tblGrid>
            <w:tr w:rsidR="004E67A3" w:rsidRPr="00801F5D" w:rsidTr="004B50CC">
              <w:trPr>
                <w:trHeight w:val="56"/>
                <w:jc w:val="center"/>
              </w:trPr>
              <w:tc>
                <w:tcPr>
                  <w:tcW w:w="1534" w:type="dxa"/>
                  <w:shd w:val="clear" w:color="auto" w:fill="DBE5F1"/>
                  <w:noWrap/>
                  <w:vAlign w:val="center"/>
                  <w:hideMark/>
                </w:tcPr>
                <w:p w:rsidR="004E67A3" w:rsidRPr="00801F5D" w:rsidRDefault="004E67A3" w:rsidP="004B50CC">
                  <w:pPr>
                    <w:rPr>
                      <w:rFonts w:ascii="Cambria" w:hAnsi="Cambria"/>
                      <w:b/>
                      <w:smallCaps/>
                      <w:color w:val="403152"/>
                      <w:sz w:val="24"/>
                    </w:rPr>
                  </w:pPr>
                  <w:r w:rsidRPr="00801F5D">
                    <w:rPr>
                      <w:rFonts w:ascii="Cambria" w:hAnsi="Cambria"/>
                      <w:b/>
                      <w:smallCaps/>
                      <w:color w:val="403152"/>
                      <w:sz w:val="24"/>
                    </w:rPr>
                    <w:t>Título</w:t>
                  </w:r>
                </w:p>
              </w:tc>
              <w:tc>
                <w:tcPr>
                  <w:tcW w:w="2417" w:type="dxa"/>
                  <w:shd w:val="clear" w:color="auto" w:fill="DBE5F1"/>
                  <w:noWrap/>
                  <w:vAlign w:val="center"/>
                  <w:hideMark/>
                </w:tcPr>
                <w:p w:rsidR="004E67A3" w:rsidRPr="00801F5D" w:rsidRDefault="004E67A3" w:rsidP="004B50CC">
                  <w:pPr>
                    <w:rPr>
                      <w:rFonts w:ascii="Cambria" w:hAnsi="Cambria"/>
                      <w:b/>
                      <w:smallCaps/>
                      <w:color w:val="403152"/>
                      <w:sz w:val="24"/>
                    </w:rPr>
                  </w:pPr>
                  <w:r w:rsidRPr="00801F5D">
                    <w:rPr>
                      <w:rFonts w:ascii="Cambria" w:hAnsi="Cambria"/>
                      <w:b/>
                      <w:smallCaps/>
                      <w:color w:val="403152"/>
                      <w:sz w:val="24"/>
                    </w:rPr>
                    <w:t>Monto de Emisión</w:t>
                  </w:r>
                </w:p>
              </w:tc>
              <w:tc>
                <w:tcPr>
                  <w:tcW w:w="2730" w:type="dxa"/>
                  <w:shd w:val="clear" w:color="auto" w:fill="DBE5F1"/>
                  <w:noWrap/>
                  <w:vAlign w:val="center"/>
                  <w:hideMark/>
                </w:tcPr>
                <w:p w:rsidR="004E67A3" w:rsidRPr="00801F5D" w:rsidRDefault="004E67A3" w:rsidP="004B50CC">
                  <w:pPr>
                    <w:rPr>
                      <w:rFonts w:ascii="Cambria" w:hAnsi="Cambria"/>
                      <w:b/>
                      <w:smallCaps/>
                      <w:color w:val="403152"/>
                      <w:sz w:val="24"/>
                    </w:rPr>
                  </w:pPr>
                  <w:r w:rsidRPr="00801F5D">
                    <w:rPr>
                      <w:rFonts w:ascii="Cambria" w:hAnsi="Cambria"/>
                      <w:b/>
                      <w:smallCaps/>
                      <w:color w:val="403152"/>
                      <w:sz w:val="24"/>
                    </w:rPr>
                    <w:t>Calificación de Riesgo</w:t>
                  </w:r>
                </w:p>
              </w:tc>
              <w:tc>
                <w:tcPr>
                  <w:tcW w:w="1533" w:type="dxa"/>
                  <w:shd w:val="clear" w:color="auto" w:fill="DBE5F1"/>
                  <w:noWrap/>
                  <w:vAlign w:val="center"/>
                  <w:hideMark/>
                </w:tcPr>
                <w:p w:rsidR="004E67A3" w:rsidRPr="00801F5D" w:rsidRDefault="004E67A3" w:rsidP="004B50CC">
                  <w:pPr>
                    <w:rPr>
                      <w:rFonts w:ascii="Cambria" w:hAnsi="Cambria"/>
                      <w:b/>
                      <w:smallCaps/>
                      <w:color w:val="403152"/>
                      <w:sz w:val="24"/>
                    </w:rPr>
                  </w:pPr>
                  <w:r w:rsidRPr="00801F5D">
                    <w:rPr>
                      <w:rFonts w:ascii="Cambria" w:hAnsi="Cambria"/>
                      <w:b/>
                      <w:smallCaps/>
                      <w:color w:val="403152"/>
                      <w:sz w:val="24"/>
                    </w:rPr>
                    <w:t>Plazo (días)</w:t>
                  </w:r>
                </w:p>
              </w:tc>
            </w:tr>
            <w:tr w:rsidR="004E67A3" w:rsidRPr="00801F5D" w:rsidTr="004B50CC">
              <w:trPr>
                <w:trHeight w:val="50"/>
                <w:jc w:val="center"/>
              </w:trPr>
              <w:tc>
                <w:tcPr>
                  <w:tcW w:w="153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E67A3" w:rsidRPr="00801F5D" w:rsidRDefault="004E67A3" w:rsidP="00E356A3">
                  <w:pPr>
                    <w:rPr>
                      <w:rFonts w:ascii="Cambria" w:hAnsi="Cambria"/>
                      <w:b/>
                      <w:smallCaps/>
                      <w:color w:val="403152"/>
                      <w:sz w:val="24"/>
                    </w:rPr>
                  </w:pPr>
                  <w:r w:rsidRPr="00801F5D">
                    <w:rPr>
                      <w:rFonts w:ascii="Cambria" w:hAnsi="Cambria"/>
                      <w:b/>
                      <w:smallCaps/>
                      <w:color w:val="403152"/>
                      <w:sz w:val="24"/>
                    </w:rPr>
                    <w:t xml:space="preserve">SERIE </w:t>
                  </w:r>
                  <w:r w:rsidR="00FD42C2">
                    <w:rPr>
                      <w:rFonts w:ascii="Cambria" w:hAnsi="Cambria"/>
                      <w:b/>
                      <w:smallCaps/>
                      <w:color w:val="403152"/>
                      <w:sz w:val="24"/>
                    </w:rPr>
                    <w:t>3</w:t>
                  </w:r>
                  <w:r w:rsidR="00E356A3">
                    <w:rPr>
                      <w:rFonts w:ascii="Cambria" w:hAnsi="Cambria"/>
                      <w:b/>
                      <w:smallCaps/>
                      <w:color w:val="403152"/>
                      <w:sz w:val="24"/>
                    </w:rPr>
                    <w:t>2</w:t>
                  </w:r>
                </w:p>
              </w:tc>
              <w:tc>
                <w:tcPr>
                  <w:tcW w:w="241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E67A3" w:rsidRPr="00801F5D" w:rsidRDefault="00C74F30" w:rsidP="003A6CD4">
                  <w:pPr>
                    <w:rPr>
                      <w:rFonts w:ascii="Cambria" w:hAnsi="Cambria"/>
                      <w:b/>
                      <w:smallCaps/>
                      <w:color w:val="403152"/>
                      <w:sz w:val="24"/>
                    </w:rPr>
                  </w:pPr>
                  <w:r>
                    <w:rPr>
                      <w:rFonts w:ascii="Cambria" w:hAnsi="Cambria"/>
                      <w:b/>
                      <w:smallCaps/>
                      <w:color w:val="403152"/>
                      <w:sz w:val="24"/>
                    </w:rPr>
                    <w:t xml:space="preserve">Hasta </w:t>
                  </w:r>
                  <w:r w:rsidR="004549E4">
                    <w:rPr>
                      <w:rFonts w:ascii="Cambria" w:hAnsi="Cambria"/>
                      <w:b/>
                      <w:smallCaps/>
                      <w:color w:val="403152"/>
                      <w:sz w:val="24"/>
                    </w:rPr>
                    <w:t>$ 2</w:t>
                  </w:r>
                  <w:r>
                    <w:rPr>
                      <w:rFonts w:ascii="Cambria" w:hAnsi="Cambria"/>
                      <w:b/>
                      <w:smallCaps/>
                      <w:color w:val="403152"/>
                      <w:sz w:val="24"/>
                    </w:rPr>
                    <w:t>0</w:t>
                  </w:r>
                  <w:r w:rsidR="004549E4">
                    <w:rPr>
                      <w:rFonts w:ascii="Cambria" w:hAnsi="Cambria"/>
                      <w:b/>
                      <w:smallCaps/>
                      <w:color w:val="403152"/>
                      <w:sz w:val="24"/>
                    </w:rPr>
                    <w:t>0</w:t>
                  </w:r>
                  <w:r w:rsidR="004E67A3" w:rsidRPr="00801F5D">
                    <w:rPr>
                      <w:rFonts w:ascii="Cambria" w:hAnsi="Cambria"/>
                      <w:b/>
                      <w:smallCaps/>
                      <w:color w:val="403152"/>
                      <w:sz w:val="24"/>
                    </w:rPr>
                    <w:t>.000</w:t>
                  </w:r>
                  <w:r w:rsidR="004549E4">
                    <w:rPr>
                      <w:rFonts w:ascii="Cambria" w:hAnsi="Cambria"/>
                      <w:b/>
                      <w:smallCaps/>
                      <w:color w:val="403152"/>
                      <w:sz w:val="24"/>
                    </w:rPr>
                    <w:t>.000 ampliable</w:t>
                  </w:r>
                  <w:r>
                    <w:rPr>
                      <w:rFonts w:ascii="Cambria" w:hAnsi="Cambria"/>
                      <w:b/>
                      <w:smallCaps/>
                      <w:color w:val="403152"/>
                      <w:sz w:val="24"/>
                    </w:rPr>
                    <w:t xml:space="preserve"> Hasta           $ </w:t>
                  </w:r>
                  <w:r w:rsidR="003A6CD4">
                    <w:rPr>
                      <w:rFonts w:ascii="Cambria" w:hAnsi="Cambria"/>
                      <w:b/>
                      <w:smallCaps/>
                      <w:color w:val="403152"/>
                      <w:sz w:val="24"/>
                    </w:rPr>
                    <w:t>350</w:t>
                  </w:r>
                  <w:r>
                    <w:rPr>
                      <w:rFonts w:ascii="Cambria" w:hAnsi="Cambria"/>
                      <w:b/>
                      <w:smallCaps/>
                      <w:color w:val="403152"/>
                      <w:sz w:val="24"/>
                    </w:rPr>
                    <w:t>.000.000</w:t>
                  </w:r>
                </w:p>
              </w:tc>
              <w:tc>
                <w:tcPr>
                  <w:tcW w:w="273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E67A3" w:rsidRPr="00801F5D" w:rsidRDefault="004E67A3" w:rsidP="00371353">
                  <w:pPr>
                    <w:jc w:val="center"/>
                    <w:rPr>
                      <w:rFonts w:ascii="Cambria" w:hAnsi="Cambria"/>
                      <w:b/>
                      <w:smallCaps/>
                      <w:color w:val="403152"/>
                      <w:sz w:val="24"/>
                    </w:rPr>
                  </w:pPr>
                  <w:r w:rsidRPr="00801F5D">
                    <w:rPr>
                      <w:rFonts w:ascii="Cambria" w:hAnsi="Cambria"/>
                      <w:b/>
                      <w:smallCaps/>
                      <w:color w:val="403152"/>
                      <w:sz w:val="24"/>
                    </w:rPr>
                    <w:t xml:space="preserve">Moody’s </w:t>
                  </w:r>
                  <w:r w:rsidR="00371353">
                    <w:rPr>
                      <w:rFonts w:ascii="Cambria" w:hAnsi="Cambria"/>
                      <w:b/>
                      <w:smallCaps/>
                      <w:color w:val="403152"/>
                      <w:sz w:val="24"/>
                    </w:rPr>
                    <w:t>A</w:t>
                  </w:r>
                  <w:r w:rsidRPr="00801F5D">
                    <w:rPr>
                      <w:rFonts w:ascii="Cambria" w:hAnsi="Cambria"/>
                      <w:b/>
                      <w:smallCaps/>
                      <w:color w:val="403152"/>
                      <w:sz w:val="24"/>
                    </w:rPr>
                    <w:t>2.</w:t>
                  </w:r>
                  <w:r w:rsidR="00371353">
                    <w:rPr>
                      <w:rFonts w:ascii="Cambria" w:hAnsi="Cambria"/>
                      <w:b/>
                      <w:smallCaps/>
                      <w:color w:val="403152"/>
                      <w:sz w:val="24"/>
                    </w:rPr>
                    <w:t>ar</w:t>
                  </w:r>
                </w:p>
              </w:tc>
              <w:tc>
                <w:tcPr>
                  <w:tcW w:w="153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4E67A3" w:rsidRPr="00801F5D" w:rsidRDefault="00E356A3" w:rsidP="00E356A3">
                  <w:pPr>
                    <w:jc w:val="center"/>
                    <w:rPr>
                      <w:rFonts w:ascii="Cambria" w:hAnsi="Cambria"/>
                      <w:b/>
                      <w:smallCaps/>
                      <w:color w:val="403152"/>
                      <w:sz w:val="24"/>
                    </w:rPr>
                  </w:pPr>
                  <w:r>
                    <w:rPr>
                      <w:rFonts w:ascii="Cambria" w:hAnsi="Cambria"/>
                      <w:b/>
                      <w:smallCaps/>
                      <w:color w:val="403152"/>
                      <w:sz w:val="24"/>
                    </w:rPr>
                    <w:t>330</w:t>
                  </w:r>
                </w:p>
              </w:tc>
            </w:tr>
          </w:tbl>
          <w:p w:rsidR="004E67A3" w:rsidRPr="004B50CC" w:rsidRDefault="004E67A3" w:rsidP="004B50CC">
            <w:pPr>
              <w:pStyle w:val="PortadaEmpresas"/>
              <w:jc w:val="center"/>
              <w:rPr>
                <w:lang w:val="es-AR"/>
              </w:rPr>
            </w:pPr>
          </w:p>
        </w:tc>
      </w:tr>
    </w:tbl>
    <w:p w:rsidR="00133103" w:rsidRDefault="00133103" w:rsidP="003F4349"/>
    <w:p w:rsidR="004E67A3" w:rsidRDefault="004E67A3" w:rsidP="003F4349"/>
    <w:p w:rsidR="004E67A3" w:rsidRDefault="004E67A3" w:rsidP="003F4349"/>
    <w:p w:rsidR="00792E51" w:rsidRPr="00770DEE" w:rsidRDefault="00AF300D" w:rsidP="00AF300D">
      <w:pPr>
        <w:rPr>
          <w:rFonts w:ascii="Cambria" w:hAnsi="Cambria"/>
          <w:b/>
          <w:sz w:val="32"/>
          <w:szCs w:val="32"/>
          <w:lang w:val="es-MX"/>
        </w:rPr>
      </w:pPr>
      <w:r>
        <w:rPr>
          <w:rFonts w:ascii="Cambria" w:hAnsi="Cambria"/>
          <w:b/>
          <w:color w:val="403152"/>
          <w:sz w:val="24"/>
        </w:rPr>
        <w:tab/>
      </w:r>
      <w:r w:rsidR="00792E51" w:rsidRPr="00770DEE">
        <w:rPr>
          <w:rFonts w:ascii="Cambria" w:hAnsi="Cambria"/>
          <w:b/>
          <w:color w:val="403152"/>
          <w:sz w:val="24"/>
        </w:rPr>
        <w:t>FECHA DE LICITACIÓN:</w:t>
      </w:r>
      <w:r w:rsidR="00B04F5F">
        <w:rPr>
          <w:rFonts w:ascii="Cambria" w:hAnsi="Cambria"/>
          <w:b/>
          <w:color w:val="403152"/>
          <w:sz w:val="24"/>
        </w:rPr>
        <w:tab/>
      </w:r>
      <w:r w:rsidR="00B04F5F">
        <w:rPr>
          <w:rFonts w:ascii="Cambria" w:hAnsi="Cambria"/>
          <w:b/>
          <w:color w:val="403152"/>
          <w:sz w:val="24"/>
        </w:rPr>
        <w:tab/>
      </w:r>
      <w:r w:rsidR="00792E51">
        <w:rPr>
          <w:rFonts w:ascii="Cambria" w:hAnsi="Cambria"/>
          <w:b/>
          <w:color w:val="403152"/>
          <w:sz w:val="24"/>
        </w:rPr>
        <w:tab/>
      </w:r>
      <w:r w:rsidR="00B04F5F">
        <w:rPr>
          <w:rFonts w:ascii="Cambria" w:hAnsi="Cambria"/>
          <w:b/>
          <w:color w:val="403152"/>
          <w:sz w:val="24"/>
        </w:rPr>
        <w:tab/>
      </w:r>
      <w:r w:rsidR="00B04F5F">
        <w:rPr>
          <w:rFonts w:ascii="Cambria" w:hAnsi="Cambria"/>
          <w:b/>
          <w:color w:val="403152"/>
          <w:sz w:val="24"/>
        </w:rPr>
        <w:tab/>
      </w:r>
      <w:r w:rsidR="00792E51">
        <w:rPr>
          <w:rFonts w:ascii="Cambria" w:hAnsi="Cambria"/>
          <w:b/>
          <w:color w:val="403152"/>
          <w:sz w:val="24"/>
        </w:rPr>
        <w:tab/>
      </w:r>
      <w:r w:rsidR="00724F89">
        <w:rPr>
          <w:rFonts w:ascii="Cambria" w:hAnsi="Cambria"/>
          <w:b/>
          <w:color w:val="403152"/>
          <w:sz w:val="24"/>
        </w:rPr>
        <w:t>2</w:t>
      </w:r>
      <w:r w:rsidR="00E356A3">
        <w:rPr>
          <w:rFonts w:ascii="Cambria" w:hAnsi="Cambria"/>
          <w:b/>
          <w:color w:val="403152"/>
          <w:sz w:val="24"/>
        </w:rPr>
        <w:t>7</w:t>
      </w:r>
      <w:r w:rsidR="00724F89">
        <w:rPr>
          <w:rFonts w:ascii="Cambria" w:hAnsi="Cambria"/>
          <w:b/>
          <w:color w:val="403152"/>
          <w:sz w:val="24"/>
        </w:rPr>
        <w:t>/0</w:t>
      </w:r>
      <w:r w:rsidR="00E356A3">
        <w:rPr>
          <w:rFonts w:ascii="Cambria" w:hAnsi="Cambria"/>
          <w:b/>
          <w:color w:val="403152"/>
          <w:sz w:val="24"/>
        </w:rPr>
        <w:t>3</w:t>
      </w:r>
      <w:r w:rsidR="00724F89">
        <w:rPr>
          <w:rFonts w:ascii="Cambria" w:hAnsi="Cambria"/>
          <w:b/>
          <w:color w:val="403152"/>
          <w:sz w:val="24"/>
        </w:rPr>
        <w:t>/2019</w:t>
      </w:r>
      <w:r>
        <w:rPr>
          <w:rFonts w:ascii="Cambria" w:hAnsi="Cambria"/>
          <w:b/>
          <w:color w:val="403152"/>
          <w:sz w:val="24"/>
        </w:rPr>
        <w:tab/>
      </w:r>
      <w:r>
        <w:rPr>
          <w:rFonts w:ascii="Cambria" w:hAnsi="Cambria"/>
          <w:b/>
          <w:color w:val="403152"/>
          <w:sz w:val="24"/>
        </w:rPr>
        <w:tab/>
      </w:r>
      <w:r>
        <w:rPr>
          <w:rFonts w:ascii="Cambria" w:hAnsi="Cambria"/>
          <w:b/>
          <w:color w:val="403152"/>
          <w:sz w:val="24"/>
        </w:rPr>
        <w:tab/>
      </w:r>
      <w:r w:rsidR="00792E51">
        <w:rPr>
          <w:rFonts w:ascii="Cambria" w:hAnsi="Cambria"/>
          <w:b/>
          <w:color w:val="403152"/>
          <w:sz w:val="24"/>
        </w:rPr>
        <w:t>F</w:t>
      </w:r>
      <w:r w:rsidR="00792E51" w:rsidRPr="00770DEE">
        <w:rPr>
          <w:rFonts w:ascii="Cambria" w:hAnsi="Cambria"/>
          <w:b/>
          <w:color w:val="403152"/>
          <w:sz w:val="24"/>
        </w:rPr>
        <w:t>ECHA DE INTEGRACIÓN (T+</w:t>
      </w:r>
      <w:r w:rsidR="00792E51">
        <w:rPr>
          <w:rFonts w:ascii="Cambria" w:hAnsi="Cambria"/>
          <w:b/>
          <w:color w:val="403152"/>
          <w:sz w:val="24"/>
        </w:rPr>
        <w:t>2):</w:t>
      </w:r>
      <w:r w:rsidR="00B04F5F">
        <w:rPr>
          <w:rFonts w:ascii="Cambria" w:hAnsi="Cambria"/>
          <w:b/>
          <w:color w:val="403152"/>
          <w:sz w:val="24"/>
        </w:rPr>
        <w:tab/>
      </w:r>
      <w:r w:rsidR="00B04F5F">
        <w:rPr>
          <w:rFonts w:ascii="Cambria" w:hAnsi="Cambria"/>
          <w:b/>
          <w:color w:val="403152"/>
          <w:sz w:val="24"/>
        </w:rPr>
        <w:tab/>
      </w:r>
      <w:r w:rsidR="00B04F5F">
        <w:rPr>
          <w:rFonts w:ascii="Cambria" w:hAnsi="Cambria"/>
          <w:b/>
          <w:color w:val="403152"/>
          <w:sz w:val="24"/>
        </w:rPr>
        <w:tab/>
      </w:r>
      <w:r w:rsidR="00B04F5F">
        <w:rPr>
          <w:rFonts w:ascii="Cambria" w:hAnsi="Cambria"/>
          <w:b/>
          <w:color w:val="403152"/>
          <w:sz w:val="24"/>
        </w:rPr>
        <w:tab/>
      </w:r>
      <w:r w:rsidR="00792E51">
        <w:rPr>
          <w:rFonts w:ascii="Cambria" w:hAnsi="Cambria"/>
          <w:b/>
          <w:color w:val="403152"/>
          <w:sz w:val="24"/>
        </w:rPr>
        <w:tab/>
      </w:r>
      <w:r w:rsidR="00724F89">
        <w:rPr>
          <w:rFonts w:ascii="Cambria" w:hAnsi="Cambria"/>
          <w:b/>
          <w:color w:val="403152"/>
          <w:sz w:val="24"/>
        </w:rPr>
        <w:t>2</w:t>
      </w:r>
      <w:r w:rsidR="00E356A3">
        <w:rPr>
          <w:rFonts w:ascii="Cambria" w:hAnsi="Cambria"/>
          <w:b/>
          <w:color w:val="403152"/>
          <w:sz w:val="24"/>
        </w:rPr>
        <w:t>9</w:t>
      </w:r>
      <w:r w:rsidR="00724F89">
        <w:rPr>
          <w:rFonts w:ascii="Cambria" w:hAnsi="Cambria"/>
          <w:b/>
          <w:color w:val="403152"/>
          <w:sz w:val="24"/>
        </w:rPr>
        <w:t>/0</w:t>
      </w:r>
      <w:r w:rsidR="00E356A3">
        <w:rPr>
          <w:rFonts w:ascii="Cambria" w:hAnsi="Cambria"/>
          <w:b/>
          <w:color w:val="403152"/>
          <w:sz w:val="24"/>
        </w:rPr>
        <w:t>3</w:t>
      </w:r>
      <w:r w:rsidR="00724F89">
        <w:rPr>
          <w:rFonts w:ascii="Cambria" w:hAnsi="Cambria"/>
          <w:b/>
          <w:color w:val="403152"/>
          <w:sz w:val="24"/>
        </w:rPr>
        <w:t>/2019</w:t>
      </w:r>
      <w:r w:rsidR="003A6CD4">
        <w:rPr>
          <w:rFonts w:ascii="Cambria" w:hAnsi="Cambria"/>
          <w:b/>
          <w:color w:val="403152"/>
          <w:sz w:val="24"/>
        </w:rPr>
        <w:t xml:space="preserve"> </w:t>
      </w:r>
    </w:p>
    <w:p w:rsidR="004E67A3" w:rsidRDefault="004E67A3" w:rsidP="003F4349"/>
    <w:p w:rsidR="004E67A3" w:rsidRPr="00BF4758" w:rsidRDefault="004E67A3" w:rsidP="003F4349"/>
    <w:p w:rsidR="00B612A6" w:rsidRDefault="00CB502F" w:rsidP="00CB502F">
      <w:pPr>
        <w:pStyle w:val="Ttulo2"/>
        <w:rPr>
          <w:rFonts w:ascii="Cambria" w:hAnsi="Cambria"/>
          <w:b/>
          <w:color w:val="auto"/>
          <w:sz w:val="32"/>
        </w:rPr>
      </w:pPr>
      <w:r w:rsidRPr="00B34C4E">
        <w:rPr>
          <w:rFonts w:ascii="Cambria" w:hAnsi="Cambria"/>
          <w:b/>
          <w:color w:val="auto"/>
          <w:sz w:val="32"/>
        </w:rPr>
        <w:t xml:space="preserve">características de </w:t>
      </w:r>
      <w:r w:rsidR="00B612A6" w:rsidRPr="00B34C4E">
        <w:rPr>
          <w:rFonts w:ascii="Cambria" w:hAnsi="Cambria"/>
          <w:b/>
          <w:color w:val="auto"/>
          <w:sz w:val="32"/>
        </w:rPr>
        <w:t>emisión</w:t>
      </w:r>
    </w:p>
    <w:p w:rsidR="00F91ED4" w:rsidRPr="00F91ED4" w:rsidRDefault="00F91ED4" w:rsidP="00F91ED4">
      <w:pPr>
        <w:rPr>
          <w:lang w:val="es-ES"/>
        </w:rPr>
      </w:pPr>
    </w:p>
    <w:p w:rsidR="00BC1F9D" w:rsidRPr="00BC1F9D" w:rsidRDefault="00BC1F9D" w:rsidP="0098238C">
      <w:pPr>
        <w:pStyle w:val="Listaconvietas2"/>
        <w:numPr>
          <w:ilvl w:val="0"/>
          <w:numId w:val="34"/>
        </w:numPr>
        <w:rPr>
          <w:lang w:val="es-ES"/>
        </w:rPr>
      </w:pPr>
      <w:r w:rsidRPr="002733B9">
        <w:rPr>
          <w:rFonts w:ascii="Cambria" w:hAnsi="Cambria" w:cs="TrebuchetMS"/>
          <w:b/>
          <w:szCs w:val="22"/>
        </w:rPr>
        <w:t>Identificación de la serie</w:t>
      </w:r>
      <w:r>
        <w:rPr>
          <w:lang w:val="es-ES"/>
        </w:rPr>
        <w:t xml:space="preserve">: </w:t>
      </w:r>
      <w:r w:rsidR="000879E3" w:rsidRPr="002733B9">
        <w:rPr>
          <w:rFonts w:ascii="Cambria" w:hAnsi="Cambria"/>
          <w:szCs w:val="22"/>
        </w:rPr>
        <w:t xml:space="preserve">SERIE </w:t>
      </w:r>
      <w:r w:rsidR="00FD42C2">
        <w:rPr>
          <w:rFonts w:ascii="Cambria" w:hAnsi="Cambria"/>
          <w:szCs w:val="22"/>
        </w:rPr>
        <w:t>3</w:t>
      </w:r>
      <w:r w:rsidR="00E356A3">
        <w:rPr>
          <w:rFonts w:ascii="Cambria" w:hAnsi="Cambria"/>
          <w:szCs w:val="22"/>
        </w:rPr>
        <w:t>2</w:t>
      </w:r>
      <w:r w:rsidR="00A95049">
        <w:rPr>
          <w:rFonts w:ascii="Cambria" w:hAnsi="Cambria"/>
          <w:szCs w:val="22"/>
        </w:rPr>
        <w:t>-</w:t>
      </w:r>
    </w:p>
    <w:p w:rsidR="00C74F30" w:rsidRPr="00C74F30" w:rsidRDefault="00B34C4E">
      <w:pPr>
        <w:pStyle w:val="Listaconvietas2"/>
        <w:numPr>
          <w:ilvl w:val="0"/>
          <w:numId w:val="34"/>
        </w:numPr>
        <w:rPr>
          <w:lang w:val="es-ES"/>
        </w:rPr>
      </w:pPr>
      <w:r w:rsidRPr="002733B9">
        <w:rPr>
          <w:rFonts w:ascii="Cambria" w:hAnsi="Cambria" w:cs="TrebuchetMS"/>
          <w:b/>
          <w:szCs w:val="22"/>
        </w:rPr>
        <w:t>Valor nominal</w:t>
      </w:r>
      <w:r w:rsidRPr="002733B9">
        <w:rPr>
          <w:rFonts w:ascii="Cambria" w:hAnsi="Cambria"/>
          <w:szCs w:val="22"/>
        </w:rPr>
        <w:t xml:space="preserve">: </w:t>
      </w:r>
      <w:r w:rsidR="00C74F30">
        <w:rPr>
          <w:rFonts w:ascii="Cambria" w:hAnsi="Cambria"/>
          <w:szCs w:val="22"/>
        </w:rPr>
        <w:t xml:space="preserve">Hasta </w:t>
      </w:r>
      <w:r w:rsidR="004549E4">
        <w:rPr>
          <w:rFonts w:ascii="Cambria" w:hAnsi="Cambria"/>
          <w:szCs w:val="22"/>
        </w:rPr>
        <w:t xml:space="preserve">$ </w:t>
      </w:r>
      <w:r w:rsidR="00C74F30">
        <w:rPr>
          <w:rFonts w:ascii="Cambria" w:hAnsi="Cambria"/>
          <w:szCs w:val="22"/>
        </w:rPr>
        <w:t>200.000.</w:t>
      </w:r>
      <w:r w:rsidR="004549E4">
        <w:rPr>
          <w:rFonts w:ascii="Cambria" w:hAnsi="Cambria"/>
          <w:szCs w:val="22"/>
        </w:rPr>
        <w:t>000 ampliable</w:t>
      </w:r>
      <w:r w:rsidR="00C74F30">
        <w:rPr>
          <w:rFonts w:ascii="Cambria" w:hAnsi="Cambria"/>
          <w:szCs w:val="22"/>
        </w:rPr>
        <w:t xml:space="preserve"> hasta $ </w:t>
      </w:r>
      <w:r w:rsidR="003A6CD4">
        <w:rPr>
          <w:rFonts w:ascii="Cambria" w:hAnsi="Cambria"/>
          <w:szCs w:val="22"/>
        </w:rPr>
        <w:t>350</w:t>
      </w:r>
      <w:r w:rsidR="00FB7FE9" w:rsidRPr="00FB7FE9">
        <w:rPr>
          <w:lang w:val="es-ES"/>
        </w:rPr>
        <w:t>.</w:t>
      </w:r>
      <w:r w:rsidR="00C74F30">
        <w:rPr>
          <w:lang w:val="es-ES"/>
        </w:rPr>
        <w:t>000.000</w:t>
      </w:r>
      <w:r w:rsidR="00A95049">
        <w:rPr>
          <w:lang w:val="es-ES"/>
        </w:rPr>
        <w:t>.-</w:t>
      </w:r>
    </w:p>
    <w:p w:rsidR="00FB7FE9" w:rsidRDefault="00B34C4E" w:rsidP="00FB7FE9">
      <w:pPr>
        <w:pStyle w:val="Listaconvietas2"/>
        <w:numPr>
          <w:ilvl w:val="0"/>
          <w:numId w:val="34"/>
        </w:numPr>
        <w:jc w:val="both"/>
        <w:rPr>
          <w:rFonts w:ascii="Cambria" w:hAnsi="Cambria"/>
          <w:szCs w:val="22"/>
        </w:rPr>
      </w:pPr>
      <w:r w:rsidRPr="002733B9">
        <w:rPr>
          <w:rFonts w:ascii="Cambria" w:hAnsi="Cambria" w:cs="TrebuchetMS"/>
          <w:b/>
          <w:szCs w:val="22"/>
        </w:rPr>
        <w:t>Vencimiento. Cómputo del plazo</w:t>
      </w:r>
      <w:r w:rsidRPr="001E031E">
        <w:rPr>
          <w:b/>
          <w:lang w:val="es-ES"/>
        </w:rPr>
        <w:t>:</w:t>
      </w:r>
      <w:r>
        <w:rPr>
          <w:lang w:val="es-ES"/>
        </w:rPr>
        <w:t xml:space="preserve"> </w:t>
      </w:r>
      <w:r w:rsidRPr="002733B9">
        <w:rPr>
          <w:rFonts w:ascii="Cambria" w:hAnsi="Cambria"/>
          <w:szCs w:val="22"/>
        </w:rPr>
        <w:t>La</w:t>
      </w:r>
      <w:r w:rsidR="00BA282A" w:rsidRPr="002733B9">
        <w:rPr>
          <w:rFonts w:ascii="Cambria" w:hAnsi="Cambria"/>
          <w:szCs w:val="22"/>
        </w:rPr>
        <w:t xml:space="preserve"> </w:t>
      </w:r>
      <w:r w:rsidR="00830D33">
        <w:rPr>
          <w:rFonts w:ascii="Cambria" w:hAnsi="Cambria"/>
          <w:szCs w:val="22"/>
        </w:rPr>
        <w:t xml:space="preserve">SERIE </w:t>
      </w:r>
      <w:r w:rsidR="00FD42C2">
        <w:rPr>
          <w:rFonts w:ascii="Cambria" w:hAnsi="Cambria"/>
          <w:szCs w:val="22"/>
        </w:rPr>
        <w:t>3</w:t>
      </w:r>
      <w:r w:rsidR="00E356A3">
        <w:rPr>
          <w:rFonts w:ascii="Cambria" w:hAnsi="Cambria"/>
          <w:szCs w:val="22"/>
        </w:rPr>
        <w:t>2</w:t>
      </w:r>
      <w:r w:rsidR="000879E3" w:rsidRPr="002733B9">
        <w:rPr>
          <w:rFonts w:ascii="Cambria" w:hAnsi="Cambria"/>
          <w:szCs w:val="22"/>
        </w:rPr>
        <w:t xml:space="preserve"> </w:t>
      </w:r>
      <w:r w:rsidR="00BA282A" w:rsidRPr="002733B9">
        <w:rPr>
          <w:rFonts w:ascii="Cambria" w:hAnsi="Cambria"/>
          <w:szCs w:val="22"/>
        </w:rPr>
        <w:t xml:space="preserve">vencerá a los </w:t>
      </w:r>
      <w:r w:rsidR="00E356A3">
        <w:rPr>
          <w:rFonts w:ascii="Cambria" w:hAnsi="Cambria"/>
          <w:szCs w:val="22"/>
        </w:rPr>
        <w:t>330</w:t>
      </w:r>
      <w:r w:rsidR="00724F89">
        <w:rPr>
          <w:rFonts w:ascii="Cambria" w:hAnsi="Cambria"/>
          <w:szCs w:val="22"/>
        </w:rPr>
        <w:t xml:space="preserve"> </w:t>
      </w:r>
      <w:r w:rsidR="00BA282A" w:rsidRPr="002733B9">
        <w:rPr>
          <w:rFonts w:ascii="Cambria" w:hAnsi="Cambria"/>
          <w:szCs w:val="22"/>
        </w:rPr>
        <w:t>días</w:t>
      </w:r>
      <w:r w:rsidRPr="002733B9">
        <w:rPr>
          <w:rFonts w:ascii="Cambria" w:hAnsi="Cambria"/>
          <w:szCs w:val="22"/>
        </w:rPr>
        <w:t xml:space="preserve">. El plazo se contará desde la Fecha de </w:t>
      </w:r>
      <w:r w:rsidR="00361F41" w:rsidRPr="002733B9">
        <w:rPr>
          <w:rFonts w:ascii="Cambria" w:hAnsi="Cambria"/>
          <w:szCs w:val="22"/>
        </w:rPr>
        <w:t xml:space="preserve">Integración </w:t>
      </w:r>
      <w:r w:rsidRPr="002733B9">
        <w:rPr>
          <w:rFonts w:ascii="Cambria" w:hAnsi="Cambria"/>
          <w:szCs w:val="22"/>
        </w:rPr>
        <w:t xml:space="preserve">de la Serie (siendo ésta el segundo Día Hábil posterior al cierre del período de la colocación, u otro que disponga la Secretaría de Economía, en que ha de integrarse el precio de suscripción). Si la fecha fijada para el pago fuera un día inhábil, quedará pospuesta al siguiente Día Hábil, sin que se devenguen intereses sobre dicho pago por el o los días que se posponga el vencimiento. La Fecha de Colocación y la fecha de </w:t>
      </w:r>
      <w:r w:rsidR="00CC70CB">
        <w:rPr>
          <w:rFonts w:ascii="Cambria" w:hAnsi="Cambria"/>
          <w:szCs w:val="22"/>
        </w:rPr>
        <w:t>V</w:t>
      </w:r>
      <w:r w:rsidRPr="002733B9">
        <w:rPr>
          <w:rFonts w:ascii="Cambria" w:hAnsi="Cambria"/>
          <w:szCs w:val="22"/>
        </w:rPr>
        <w:t xml:space="preserve">encimiento correspondiente se darán a conocer mediante el aviso de llamado a suscripción o en el aviso de resultado de colocación que </w:t>
      </w:r>
      <w:r w:rsidR="00010128" w:rsidRPr="002733B9">
        <w:rPr>
          <w:rFonts w:ascii="Cambria" w:hAnsi="Cambria"/>
          <w:szCs w:val="22"/>
        </w:rPr>
        <w:t xml:space="preserve">se </w:t>
      </w:r>
      <w:r w:rsidRPr="002733B9">
        <w:rPr>
          <w:rFonts w:ascii="Cambria" w:hAnsi="Cambria"/>
          <w:szCs w:val="22"/>
        </w:rPr>
        <w:t xml:space="preserve">publicará en los </w:t>
      </w:r>
      <w:r w:rsidR="001A7EC5" w:rsidRPr="002733B9">
        <w:rPr>
          <w:rFonts w:ascii="Cambria" w:hAnsi="Cambria"/>
          <w:szCs w:val="22"/>
        </w:rPr>
        <w:t>sistemas de información de los mercados</w:t>
      </w:r>
      <w:r w:rsidRPr="002733B9">
        <w:rPr>
          <w:rFonts w:ascii="Cambria" w:hAnsi="Cambria"/>
          <w:szCs w:val="22"/>
        </w:rPr>
        <w:t xml:space="preserve"> donde </w:t>
      </w:r>
      <w:r w:rsidR="00E05C78" w:rsidRPr="002733B9">
        <w:rPr>
          <w:rFonts w:ascii="Cambria" w:hAnsi="Cambria"/>
          <w:szCs w:val="22"/>
        </w:rPr>
        <w:t>listen</w:t>
      </w:r>
      <w:r w:rsidRPr="002733B9">
        <w:rPr>
          <w:rFonts w:ascii="Cambria" w:hAnsi="Cambria"/>
          <w:szCs w:val="22"/>
        </w:rPr>
        <w:t xml:space="preserve"> las Letras.</w:t>
      </w:r>
    </w:p>
    <w:p w:rsidR="00B34C4E" w:rsidRPr="0004144C" w:rsidRDefault="00B34C4E" w:rsidP="0098238C">
      <w:pPr>
        <w:pStyle w:val="Listaconvietas2"/>
        <w:numPr>
          <w:ilvl w:val="0"/>
          <w:numId w:val="34"/>
        </w:numPr>
      </w:pPr>
      <w:r w:rsidRPr="002733B9">
        <w:rPr>
          <w:rFonts w:ascii="Cambria" w:hAnsi="Cambria" w:cs="TrebuchetMS"/>
          <w:b/>
          <w:szCs w:val="22"/>
        </w:rPr>
        <w:t>Valor nominal unitario (unidad mínima de negociación):</w:t>
      </w:r>
      <w:r w:rsidRPr="0004144C">
        <w:t xml:space="preserve"> </w:t>
      </w:r>
      <w:r w:rsidRPr="002733B9">
        <w:rPr>
          <w:rFonts w:ascii="Cambria" w:hAnsi="Cambria"/>
          <w:szCs w:val="22"/>
        </w:rPr>
        <w:t>$ 1 (pesos uno).</w:t>
      </w:r>
      <w:r w:rsidRPr="0004144C">
        <w:t xml:space="preserve"> </w:t>
      </w:r>
    </w:p>
    <w:p w:rsidR="00B34C4E" w:rsidRPr="002733B9" w:rsidRDefault="00B34C4E" w:rsidP="0098238C">
      <w:pPr>
        <w:pStyle w:val="Listaconvietas2"/>
        <w:numPr>
          <w:ilvl w:val="0"/>
          <w:numId w:val="34"/>
        </w:numPr>
        <w:rPr>
          <w:rFonts w:ascii="Cambria" w:hAnsi="Cambria"/>
          <w:szCs w:val="22"/>
        </w:rPr>
      </w:pPr>
      <w:r w:rsidRPr="002733B9">
        <w:rPr>
          <w:rFonts w:ascii="Cambria" w:hAnsi="Cambria" w:cs="TrebuchetMS"/>
          <w:b/>
          <w:szCs w:val="22"/>
        </w:rPr>
        <w:t>Monto mínimo de Suscripción</w:t>
      </w:r>
      <w:r w:rsidRPr="0004144C">
        <w:rPr>
          <w:rFonts w:cs="TrebuchetMS"/>
          <w:b/>
        </w:rPr>
        <w:t>:</w:t>
      </w:r>
      <w:r w:rsidRPr="0004144C">
        <w:rPr>
          <w:b/>
        </w:rPr>
        <w:t xml:space="preserve"> </w:t>
      </w:r>
      <w:r w:rsidRPr="002733B9">
        <w:rPr>
          <w:rFonts w:ascii="Cambria" w:hAnsi="Cambria"/>
          <w:szCs w:val="22"/>
        </w:rPr>
        <w:t>V/N $ 10.000 (pesos Diez Mil) o montos superiores que sean múltiplos de $ 1 (pesos Un</w:t>
      </w:r>
      <w:r w:rsidR="00181891" w:rsidRPr="002733B9">
        <w:rPr>
          <w:rFonts w:ascii="Cambria" w:hAnsi="Cambria"/>
          <w:szCs w:val="22"/>
        </w:rPr>
        <w:t>o</w:t>
      </w:r>
      <w:r w:rsidRPr="002733B9">
        <w:rPr>
          <w:rFonts w:ascii="Cambria" w:hAnsi="Cambria"/>
          <w:szCs w:val="22"/>
        </w:rPr>
        <w:t xml:space="preserve">). </w:t>
      </w:r>
    </w:p>
    <w:p w:rsidR="00FB7FE9" w:rsidRDefault="00B34C4E" w:rsidP="00FB7FE9">
      <w:pPr>
        <w:pStyle w:val="Listaconvietas2"/>
        <w:numPr>
          <w:ilvl w:val="0"/>
          <w:numId w:val="34"/>
        </w:numPr>
        <w:jc w:val="both"/>
        <w:rPr>
          <w:rFonts w:ascii="Cambria" w:hAnsi="Cambria"/>
          <w:szCs w:val="22"/>
        </w:rPr>
      </w:pPr>
      <w:r w:rsidRPr="002733B9">
        <w:rPr>
          <w:rFonts w:ascii="Cambria" w:hAnsi="Cambria" w:cs="TrebuchetMS"/>
          <w:b/>
          <w:szCs w:val="22"/>
        </w:rPr>
        <w:t>Pago</w:t>
      </w:r>
      <w:r w:rsidRPr="00F73AB6">
        <w:rPr>
          <w:rFonts w:cs="TrebuchetMS"/>
          <w:b/>
        </w:rPr>
        <w:t>:</w:t>
      </w:r>
      <w:r w:rsidRPr="00F73AB6">
        <w:rPr>
          <w:rFonts w:cs="TrebuchetMS"/>
        </w:rPr>
        <w:t xml:space="preserve"> </w:t>
      </w:r>
      <w:r w:rsidRPr="002733B9">
        <w:rPr>
          <w:rFonts w:ascii="Cambria" w:hAnsi="Cambria"/>
          <w:szCs w:val="22"/>
        </w:rPr>
        <w:t>El pago de las obligaciones provenientes de las Letras del Tesoro se considerará cumplido en el momento en que se transfiera a Caja de Valores S.A. los fondos correspondientes, conforme a lo estipulado en el Contrato de Agente de Administración de la Garantía y el Pago</w:t>
      </w:r>
      <w:r w:rsidR="00F73AB6" w:rsidRPr="002733B9">
        <w:rPr>
          <w:rFonts w:ascii="Cambria" w:hAnsi="Cambria"/>
          <w:szCs w:val="22"/>
        </w:rPr>
        <w:t>.</w:t>
      </w:r>
    </w:p>
    <w:p w:rsidR="00FB7FE9" w:rsidRDefault="00B34C4E" w:rsidP="00FB7FE9">
      <w:pPr>
        <w:pStyle w:val="Listaconvietas2"/>
        <w:numPr>
          <w:ilvl w:val="0"/>
          <w:numId w:val="34"/>
        </w:numPr>
        <w:jc w:val="both"/>
      </w:pPr>
      <w:r w:rsidRPr="002733B9">
        <w:rPr>
          <w:rFonts w:ascii="Cambria" w:hAnsi="Cambria" w:cs="TrebuchetMS"/>
          <w:b/>
          <w:szCs w:val="22"/>
        </w:rPr>
        <w:t>Día Hábil</w:t>
      </w:r>
      <w:r w:rsidRPr="00F73AB6">
        <w:rPr>
          <w:b/>
        </w:rPr>
        <w:t>:</w:t>
      </w:r>
      <w:r w:rsidRPr="00F73AB6">
        <w:t xml:space="preserve"> </w:t>
      </w:r>
      <w:r w:rsidRPr="002733B9">
        <w:rPr>
          <w:rFonts w:ascii="Cambria" w:hAnsi="Cambria"/>
          <w:szCs w:val="22"/>
        </w:rPr>
        <w:t xml:space="preserve">Se entenderá “Día Hábil” cualquier día lunes a viernes, salvo aquellos en los que los bancos están obligados a cerrar en las ciudades donde </w:t>
      </w:r>
      <w:r w:rsidR="00010128" w:rsidRPr="002733B9">
        <w:rPr>
          <w:rFonts w:ascii="Cambria" w:hAnsi="Cambria"/>
          <w:szCs w:val="22"/>
        </w:rPr>
        <w:t>se liste</w:t>
      </w:r>
      <w:r w:rsidRPr="002733B9">
        <w:rPr>
          <w:rFonts w:ascii="Cambria" w:hAnsi="Cambria"/>
          <w:szCs w:val="22"/>
        </w:rPr>
        <w:t xml:space="preserve"> la presente Serie.</w:t>
      </w:r>
    </w:p>
    <w:p w:rsidR="00FB7FE9" w:rsidRDefault="00B34C4E" w:rsidP="00FB7FE9">
      <w:pPr>
        <w:pStyle w:val="Listaconvietas2"/>
        <w:numPr>
          <w:ilvl w:val="0"/>
          <w:numId w:val="34"/>
        </w:numPr>
        <w:jc w:val="both"/>
        <w:rPr>
          <w:rFonts w:ascii="Cambria" w:hAnsi="Cambria"/>
          <w:szCs w:val="22"/>
        </w:rPr>
      </w:pPr>
      <w:r w:rsidRPr="002733B9">
        <w:rPr>
          <w:rFonts w:ascii="Cambria" w:hAnsi="Cambria" w:cs="TrebuchetMS"/>
          <w:b/>
          <w:szCs w:val="22"/>
        </w:rPr>
        <w:t>Garantía</w:t>
      </w:r>
      <w:r w:rsidRPr="00BF58DA">
        <w:rPr>
          <w:rFonts w:ascii="Cambria" w:hAnsi="Cambria" w:cs="TrebuchetMS"/>
          <w:b/>
          <w:szCs w:val="22"/>
        </w:rPr>
        <w:t>. Agente de Administración de la Garantía y el Pago:</w:t>
      </w:r>
      <w:r w:rsidRPr="0004144C">
        <w:rPr>
          <w:b/>
          <w:bCs/>
        </w:rPr>
        <w:t xml:space="preserve"> </w:t>
      </w:r>
      <w:r w:rsidRPr="002733B9">
        <w:rPr>
          <w:rFonts w:ascii="Cambria" w:hAnsi="Cambria"/>
          <w:szCs w:val="22"/>
        </w:rPr>
        <w:t>En garantía d</w:t>
      </w:r>
      <w:r w:rsidR="00EA1BCA">
        <w:rPr>
          <w:rFonts w:ascii="Cambria" w:hAnsi="Cambria"/>
          <w:szCs w:val="22"/>
        </w:rPr>
        <w:t>el pago de las Letras se cede -</w:t>
      </w:r>
      <w:r w:rsidRPr="002733B9">
        <w:rPr>
          <w:rFonts w:ascii="Cambria" w:hAnsi="Cambria"/>
          <w:szCs w:val="22"/>
        </w:rPr>
        <w:t>en garantía y favor de los titulares de las Letras, por intermedio del Agente de Administ</w:t>
      </w:r>
      <w:r w:rsidR="00EA1BCA">
        <w:rPr>
          <w:rFonts w:ascii="Cambria" w:hAnsi="Cambria"/>
          <w:szCs w:val="22"/>
        </w:rPr>
        <w:t>ración de la Garantía y el Pago</w:t>
      </w:r>
      <w:r w:rsidRPr="002733B9">
        <w:rPr>
          <w:rFonts w:ascii="Cambria" w:hAnsi="Cambria"/>
          <w:szCs w:val="22"/>
        </w:rPr>
        <w:t>-</w:t>
      </w:r>
      <w:r w:rsidR="00EA1BCA">
        <w:rPr>
          <w:rFonts w:ascii="Cambria" w:hAnsi="Cambria"/>
          <w:szCs w:val="22"/>
        </w:rPr>
        <w:t>,</w:t>
      </w:r>
      <w:r w:rsidRPr="002733B9">
        <w:rPr>
          <w:rFonts w:ascii="Cambria" w:hAnsi="Cambria"/>
          <w:szCs w:val="22"/>
        </w:rPr>
        <w:t xml:space="preserve"> Recaudación del Municipio por la contribución que incide sobre la Actividad Comercial, Industrial y de Servicios, Cat</w:t>
      </w:r>
      <w:r w:rsidR="00EA1BCA">
        <w:rPr>
          <w:rFonts w:ascii="Cambria" w:hAnsi="Cambria"/>
          <w:szCs w:val="22"/>
        </w:rPr>
        <w:t>egoría Grandes Contribuyentes –Tipo 3</w:t>
      </w:r>
      <w:r w:rsidRPr="002733B9">
        <w:rPr>
          <w:rFonts w:ascii="Cambria" w:hAnsi="Cambria"/>
          <w:szCs w:val="22"/>
        </w:rPr>
        <w:t>-, reglada en los artículos 258 y siguientes del Código Tributario. BMR MANDATOS Y NEGOCIOS S.A. actuará como Agente de Administración de la Garantía y el Pago, (el “Agente de Administración de la Garantía y el Pago”), conforme al contrato celebrado entre el Municipio y dicha entidad (el “Contrato de Agente de Administración de la Garantía y el Pago”).</w:t>
      </w:r>
    </w:p>
    <w:p w:rsidR="00FB7FE9" w:rsidRDefault="00B34C4E" w:rsidP="00FB7FE9">
      <w:pPr>
        <w:pStyle w:val="Listaconvietas2"/>
        <w:numPr>
          <w:ilvl w:val="0"/>
          <w:numId w:val="34"/>
        </w:numPr>
        <w:jc w:val="both"/>
        <w:rPr>
          <w:rFonts w:cs="TrebuchetMS"/>
        </w:rPr>
      </w:pPr>
      <w:r w:rsidRPr="002733B9">
        <w:rPr>
          <w:rFonts w:ascii="Cambria" w:hAnsi="Cambria" w:cs="TrebuchetMS"/>
          <w:b/>
          <w:szCs w:val="22"/>
        </w:rPr>
        <w:t>Forma</w:t>
      </w:r>
      <w:r w:rsidRPr="002733B9">
        <w:rPr>
          <w:rFonts w:ascii="Cambria" w:hAnsi="Cambria"/>
          <w:szCs w:val="22"/>
        </w:rPr>
        <w:t xml:space="preserve">: La </w:t>
      </w:r>
      <w:r w:rsidR="000879E3" w:rsidRPr="002733B9">
        <w:rPr>
          <w:rFonts w:ascii="Cambria" w:hAnsi="Cambria"/>
          <w:szCs w:val="22"/>
        </w:rPr>
        <w:t xml:space="preserve">SERIE  </w:t>
      </w:r>
      <w:r w:rsidR="003A6CD4">
        <w:rPr>
          <w:rFonts w:ascii="Cambria" w:hAnsi="Cambria"/>
          <w:szCs w:val="22"/>
        </w:rPr>
        <w:t>3</w:t>
      </w:r>
      <w:r w:rsidR="00E356A3">
        <w:rPr>
          <w:rFonts w:ascii="Cambria" w:hAnsi="Cambria"/>
          <w:szCs w:val="22"/>
        </w:rPr>
        <w:t>2</w:t>
      </w:r>
      <w:r w:rsidR="000879E3" w:rsidRPr="002733B9">
        <w:rPr>
          <w:rFonts w:ascii="Cambria" w:hAnsi="Cambria"/>
          <w:szCs w:val="22"/>
        </w:rPr>
        <w:t xml:space="preserve"> </w:t>
      </w:r>
      <w:r w:rsidRPr="002733B9">
        <w:rPr>
          <w:rFonts w:ascii="Cambria" w:hAnsi="Cambria"/>
          <w:szCs w:val="22"/>
        </w:rPr>
        <w:t xml:space="preserve">estará documentada en </w:t>
      </w:r>
      <w:r w:rsidR="00F61C3F" w:rsidRPr="002733B9">
        <w:rPr>
          <w:rFonts w:ascii="Cambria" w:hAnsi="Cambria"/>
          <w:szCs w:val="22"/>
        </w:rPr>
        <w:t>un certificado global permanente depositado</w:t>
      </w:r>
      <w:r w:rsidRPr="002733B9">
        <w:rPr>
          <w:rFonts w:ascii="Cambria" w:hAnsi="Cambria"/>
          <w:szCs w:val="22"/>
        </w:rPr>
        <w:t xml:space="preserve"> en Caja de Valores S.A. Los inversores no tendrán derecho a exigir la entrega de láminas individuales, por lo que todas las transferencias se realizarán a través del sistema de depósito colectivo.</w:t>
      </w:r>
    </w:p>
    <w:p w:rsidR="00C3754B" w:rsidRDefault="00C3754B" w:rsidP="00C3754B">
      <w:pPr>
        <w:pStyle w:val="Prrafodelista"/>
        <w:numPr>
          <w:ilvl w:val="0"/>
          <w:numId w:val="34"/>
        </w:numPr>
        <w:jc w:val="both"/>
        <w:rPr>
          <w:rFonts w:ascii="Cambria" w:hAnsi="Cambria"/>
          <w:szCs w:val="22"/>
        </w:rPr>
      </w:pPr>
      <w:r w:rsidRPr="00C3754B">
        <w:rPr>
          <w:rFonts w:ascii="Cambria" w:hAnsi="Cambria" w:cs="TrebuchetMS"/>
          <w:b/>
          <w:szCs w:val="22"/>
        </w:rPr>
        <w:t xml:space="preserve">Listado y negociación. </w:t>
      </w:r>
      <w:r w:rsidRPr="00C3754B">
        <w:rPr>
          <w:rFonts w:ascii="Cambria" w:hAnsi="Cambria"/>
          <w:szCs w:val="22"/>
        </w:rPr>
        <w:t xml:space="preserve">La </w:t>
      </w:r>
      <w:r w:rsidR="000879E3" w:rsidRPr="00BC1F9D">
        <w:rPr>
          <w:rFonts w:ascii="Cambria" w:hAnsi="Cambria" w:cs="TrebuchetMS"/>
          <w:szCs w:val="22"/>
          <w:lang w:val="es-ES"/>
        </w:rPr>
        <w:t>SERIE</w:t>
      </w:r>
      <w:r w:rsidR="00157858">
        <w:rPr>
          <w:rFonts w:ascii="Cambria" w:hAnsi="Cambria" w:cs="TrebuchetMS"/>
          <w:szCs w:val="22"/>
          <w:lang w:val="es-ES"/>
        </w:rPr>
        <w:t xml:space="preserve"> </w:t>
      </w:r>
      <w:r w:rsidR="00FD42C2">
        <w:rPr>
          <w:rFonts w:ascii="Cambria" w:hAnsi="Cambria" w:cs="TrebuchetMS"/>
          <w:szCs w:val="22"/>
          <w:lang w:val="es-ES"/>
        </w:rPr>
        <w:t>3</w:t>
      </w:r>
      <w:r w:rsidR="00E356A3">
        <w:rPr>
          <w:rFonts w:ascii="Cambria" w:hAnsi="Cambria" w:cs="TrebuchetMS"/>
          <w:szCs w:val="22"/>
          <w:lang w:val="es-ES"/>
        </w:rPr>
        <w:t>2</w:t>
      </w:r>
      <w:r w:rsidR="000879E3">
        <w:rPr>
          <w:rFonts w:ascii="Cambria" w:hAnsi="Cambria" w:cs="TrebuchetMS"/>
          <w:szCs w:val="22"/>
          <w:lang w:val="es-ES"/>
        </w:rPr>
        <w:t xml:space="preserve"> </w:t>
      </w:r>
      <w:r w:rsidRPr="00C3754B">
        <w:rPr>
          <w:rFonts w:ascii="Cambria" w:hAnsi="Cambria"/>
          <w:szCs w:val="22"/>
        </w:rPr>
        <w:t>podrá listarse y negociarse en el Mercado Argentino de Valores (</w:t>
      </w:r>
      <w:r w:rsidR="0098238C">
        <w:rPr>
          <w:rFonts w:ascii="Cambria" w:hAnsi="Cambria"/>
          <w:szCs w:val="22"/>
        </w:rPr>
        <w:t>“</w:t>
      </w:r>
      <w:r w:rsidRPr="00C3754B">
        <w:rPr>
          <w:rFonts w:ascii="Cambria" w:hAnsi="Cambria"/>
          <w:szCs w:val="22"/>
        </w:rPr>
        <w:t>MAV</w:t>
      </w:r>
      <w:r w:rsidR="0098238C">
        <w:rPr>
          <w:rFonts w:ascii="Cambria" w:hAnsi="Cambria"/>
          <w:szCs w:val="22"/>
        </w:rPr>
        <w:t>”</w:t>
      </w:r>
      <w:r w:rsidRPr="00C3754B">
        <w:rPr>
          <w:rFonts w:ascii="Cambria" w:hAnsi="Cambria"/>
          <w:szCs w:val="22"/>
        </w:rPr>
        <w:t xml:space="preserve">), </w:t>
      </w:r>
      <w:r w:rsidR="00010128">
        <w:rPr>
          <w:rFonts w:ascii="Cambria" w:hAnsi="Cambria"/>
          <w:szCs w:val="22"/>
        </w:rPr>
        <w:t xml:space="preserve">Bolsas y </w:t>
      </w:r>
      <w:r w:rsidRPr="00C3754B">
        <w:rPr>
          <w:rFonts w:ascii="Cambria" w:hAnsi="Cambria"/>
          <w:szCs w:val="22"/>
        </w:rPr>
        <w:t>Mercado</w:t>
      </w:r>
      <w:r w:rsidR="00010128">
        <w:rPr>
          <w:rFonts w:ascii="Cambria" w:hAnsi="Cambria"/>
          <w:szCs w:val="22"/>
        </w:rPr>
        <w:t>s Argentinos S.A</w:t>
      </w:r>
      <w:r w:rsidRPr="00C3754B">
        <w:rPr>
          <w:rFonts w:ascii="Cambria" w:hAnsi="Cambria"/>
          <w:szCs w:val="22"/>
        </w:rPr>
        <w:t xml:space="preserve"> (“</w:t>
      </w:r>
      <w:r w:rsidR="00010128">
        <w:rPr>
          <w:rFonts w:ascii="Cambria" w:hAnsi="Cambria"/>
          <w:szCs w:val="22"/>
        </w:rPr>
        <w:t>ByMA</w:t>
      </w:r>
      <w:r w:rsidRPr="00C3754B">
        <w:rPr>
          <w:rFonts w:ascii="Cambria" w:hAnsi="Cambria"/>
          <w:szCs w:val="22"/>
        </w:rPr>
        <w:t>”)</w:t>
      </w:r>
      <w:r w:rsidR="00BF58DA">
        <w:rPr>
          <w:rFonts w:ascii="Cambria" w:hAnsi="Cambria"/>
          <w:szCs w:val="22"/>
        </w:rPr>
        <w:t>,</w:t>
      </w:r>
      <w:r w:rsidR="00F713A8">
        <w:rPr>
          <w:rFonts w:ascii="Cambria" w:hAnsi="Cambria"/>
          <w:szCs w:val="22"/>
        </w:rPr>
        <w:t xml:space="preserve"> Mercado Abierto </w:t>
      </w:r>
      <w:r w:rsidR="00157858">
        <w:rPr>
          <w:rFonts w:ascii="Cambria" w:hAnsi="Cambria"/>
          <w:szCs w:val="22"/>
        </w:rPr>
        <w:t>Electrónico (</w:t>
      </w:r>
      <w:r w:rsidR="00BF58DA">
        <w:rPr>
          <w:rFonts w:ascii="Cambria" w:hAnsi="Cambria"/>
          <w:szCs w:val="22"/>
        </w:rPr>
        <w:t xml:space="preserve">MAE) </w:t>
      </w:r>
      <w:r w:rsidRPr="00C3754B">
        <w:rPr>
          <w:rFonts w:ascii="Cambria" w:hAnsi="Cambria"/>
          <w:szCs w:val="22"/>
        </w:rPr>
        <w:t>y/o cualquier otro mercado autorizado del país.</w:t>
      </w:r>
    </w:p>
    <w:p w:rsidR="007071E2" w:rsidRPr="007071E2" w:rsidRDefault="00944F37" w:rsidP="00DA3FEE">
      <w:pPr>
        <w:pStyle w:val="Prrafodelista"/>
        <w:numPr>
          <w:ilvl w:val="0"/>
          <w:numId w:val="39"/>
        </w:numPr>
        <w:jc w:val="both"/>
        <w:rPr>
          <w:rFonts w:ascii="Cambria" w:hAnsi="Cambria"/>
        </w:rPr>
      </w:pPr>
      <w:r w:rsidRPr="007071E2">
        <w:rPr>
          <w:rFonts w:ascii="Cambria" w:hAnsi="Cambria"/>
          <w:b/>
        </w:rPr>
        <w:t>Servicios de Interés</w:t>
      </w:r>
      <w:r w:rsidR="005621AE" w:rsidRPr="007071E2">
        <w:rPr>
          <w:rFonts w:ascii="Cambria" w:hAnsi="Cambria"/>
          <w:b/>
        </w:rPr>
        <w:t>:</w:t>
      </w:r>
      <w:r w:rsidR="00774A3B" w:rsidRPr="007071E2">
        <w:rPr>
          <w:rFonts w:ascii="Cambria" w:hAnsi="Cambria"/>
          <w:b/>
        </w:rPr>
        <w:t xml:space="preserve"> </w:t>
      </w:r>
      <w:r w:rsidR="00DD543D" w:rsidRPr="00FB7FE9">
        <w:rPr>
          <w:rFonts w:ascii="Cambria" w:hAnsi="Cambria"/>
        </w:rPr>
        <w:t>Los</w:t>
      </w:r>
      <w:r w:rsidR="00DD543D" w:rsidRPr="00FB7FE9">
        <w:rPr>
          <w:rFonts w:ascii="Cambria" w:hAnsi="Cambria"/>
          <w:szCs w:val="22"/>
        </w:rPr>
        <w:t xml:space="preserve"> </w:t>
      </w:r>
      <w:r w:rsidR="00DD543D">
        <w:rPr>
          <w:rFonts w:ascii="Cambria" w:hAnsi="Cambria"/>
          <w:szCs w:val="22"/>
        </w:rPr>
        <w:t xml:space="preserve">servicios de </w:t>
      </w:r>
      <w:r w:rsidR="00DD543D" w:rsidRPr="00FB7FE9">
        <w:rPr>
          <w:rFonts w:ascii="Cambria" w:hAnsi="Cambria"/>
          <w:szCs w:val="22"/>
        </w:rPr>
        <w:t>interés se pagarán trimestralmente</w:t>
      </w:r>
      <w:r w:rsidR="00DD543D">
        <w:rPr>
          <w:rFonts w:ascii="Cambria" w:hAnsi="Cambria"/>
          <w:szCs w:val="22"/>
        </w:rPr>
        <w:t xml:space="preserve"> </w:t>
      </w:r>
      <w:r w:rsidR="00DD543D" w:rsidRPr="005378E8">
        <w:rPr>
          <w:rFonts w:ascii="Cambria" w:hAnsi="Cambria"/>
          <w:szCs w:val="22"/>
        </w:rPr>
        <w:t>contados desde la Fecha de Colocación</w:t>
      </w:r>
      <w:r w:rsidR="00DD543D" w:rsidRPr="00FB7FE9">
        <w:rPr>
          <w:rFonts w:ascii="Cambria" w:hAnsi="Cambria"/>
          <w:szCs w:val="22"/>
        </w:rPr>
        <w:t xml:space="preserve">, </w:t>
      </w:r>
      <w:r w:rsidR="00DD543D">
        <w:rPr>
          <w:rFonts w:ascii="Cambria" w:hAnsi="Cambria"/>
          <w:szCs w:val="22"/>
        </w:rPr>
        <w:t>salvo el último que es irregular y se pagará en la Fecha de Vencimiento</w:t>
      </w:r>
      <w:r w:rsidR="00DD543D" w:rsidRPr="00F713A8">
        <w:rPr>
          <w:rFonts w:ascii="Cambria" w:hAnsi="Cambria"/>
          <w:szCs w:val="22"/>
        </w:rPr>
        <w:t xml:space="preserve"> </w:t>
      </w:r>
      <w:r w:rsidR="007071E2" w:rsidRPr="00F713A8">
        <w:rPr>
          <w:rFonts w:ascii="Cambria" w:hAnsi="Cambria"/>
          <w:szCs w:val="22"/>
        </w:rPr>
        <w:t xml:space="preserve">y devengarán una tasa nominal anual variable equivalente a la Tasa Aplicable </w:t>
      </w:r>
      <w:r w:rsidR="002122F6" w:rsidRPr="008B3949">
        <w:rPr>
          <w:rFonts w:ascii="Cambria" w:hAnsi="Cambria"/>
          <w:szCs w:val="22"/>
        </w:rPr>
        <w:t>más una cantidad de puntos adicionales a determinar al cierre del perío</w:t>
      </w:r>
      <w:r w:rsidR="002122F6">
        <w:rPr>
          <w:rFonts w:ascii="Cambria" w:hAnsi="Cambria"/>
          <w:szCs w:val="22"/>
        </w:rPr>
        <w:t xml:space="preserve">do de colocación (el “Margen”). </w:t>
      </w:r>
      <w:r w:rsidR="007071E2" w:rsidRPr="00F713A8">
        <w:rPr>
          <w:rFonts w:ascii="Cambria" w:hAnsi="Cambria"/>
          <w:szCs w:val="22"/>
        </w:rPr>
        <w:t xml:space="preserve">El interés se calculará considerando para su cálculo un año de 360 días (12 meses de 30 días), y </w:t>
      </w:r>
      <w:r w:rsidR="007071E2" w:rsidRPr="00F713A8">
        <w:rPr>
          <w:rFonts w:ascii="Cambria" w:hAnsi="Cambria"/>
          <w:szCs w:val="22"/>
        </w:rPr>
        <w:lastRenderedPageBreak/>
        <w:t>se devengará (a) desde la Fecha de Colocación (inclusive) hasta la fecha de pago del primer servicio (exclusive) y (b) desde la última fecha de pago de servicios (inclusive) hasta la próxima fecha de pago de servicios (exclusive) para los siguientes (cada uno un “Período de interés”). La Tasa Aplicable se define como el promedio aritmético simple de la Tasa Badlar para Bancos Privados para el período comprendido entre los diez (10) días hábiles anteriores al inicio de cada Período de Intereses (inclusive) y los diez (10) días hábiles anteriores al vencimiento de cada Período de Interés (exclusive). Tasa Badlar para Bancos Privados: es el promedio de las tasas de interés para colocaciones a plazo fijo en bancos privados en pesos por un plazo de entre 30 (treinta) y 35 (treinta y cinco) días para operaciones por un monto mayor a un millón de pesos, elaborada y publicada por el Banco Central de la República Argentina. En caso que la Tasa Badlar Bancos Privados dejare de ser informada por el BCRA, se tomará: (i) la tasa sustitutiva de la Tasa Badlar Bancos Privados que informe el BCRA o (ii) en caso de no existir o no informarse la tasa sustitutiva indicada en (i) precedente, se calculará la Tasa Badlar, considerando el promedio de tasas informadas para depósitos a plazos fijo en pesos por un monto mayor a un millón de pesos por períodos de entre 30 y 35 días de los cinco (5) primeros bancos privados de la Argentina. Para elegir los cinco (5) primeros bancos privados se considerará el último informe de depósitos disponible publicado por el BCRA</w:t>
      </w:r>
      <w:r w:rsidR="007071E2">
        <w:rPr>
          <w:rFonts w:ascii="Cambria" w:hAnsi="Cambria"/>
          <w:szCs w:val="22"/>
        </w:rPr>
        <w:t>.</w:t>
      </w:r>
    </w:p>
    <w:p w:rsidR="00B34C4E" w:rsidRPr="007071E2" w:rsidRDefault="008B3949" w:rsidP="00DA3FEE">
      <w:pPr>
        <w:pStyle w:val="Prrafodelista"/>
        <w:numPr>
          <w:ilvl w:val="0"/>
          <w:numId w:val="39"/>
        </w:numPr>
        <w:jc w:val="both"/>
        <w:rPr>
          <w:rFonts w:ascii="Cambria" w:hAnsi="Cambria"/>
        </w:rPr>
      </w:pPr>
      <w:r w:rsidRPr="007071E2">
        <w:rPr>
          <w:rFonts w:ascii="Cambria" w:hAnsi="Cambria"/>
          <w:b/>
        </w:rPr>
        <w:t>M</w:t>
      </w:r>
      <w:r w:rsidR="00B34C4E" w:rsidRPr="007071E2">
        <w:rPr>
          <w:rFonts w:ascii="Cambria" w:hAnsi="Cambria"/>
          <w:b/>
        </w:rPr>
        <w:t xml:space="preserve">oratorios: </w:t>
      </w:r>
      <w:r w:rsidR="00B34C4E" w:rsidRPr="007071E2">
        <w:rPr>
          <w:rFonts w:ascii="Cambria" w:hAnsi="Cambria"/>
        </w:rPr>
        <w:t xml:space="preserve">Los intereses moratorios se devengarán desde el vencimiento respecto del monto impago. Los mismos ascenderán a una vez y </w:t>
      </w:r>
      <w:r w:rsidR="00F01707" w:rsidRPr="007071E2">
        <w:rPr>
          <w:rFonts w:ascii="Cambria" w:hAnsi="Cambria"/>
        </w:rPr>
        <w:t>medio</w:t>
      </w:r>
      <w:r w:rsidR="00B34C4E" w:rsidRPr="007071E2">
        <w:rPr>
          <w:rFonts w:ascii="Cambria" w:hAnsi="Cambria"/>
        </w:rPr>
        <w:t xml:space="preserve"> el interés compensatorio.</w:t>
      </w:r>
    </w:p>
    <w:p w:rsidR="00B34C4E" w:rsidRPr="00FD42C2" w:rsidRDefault="00B34C4E" w:rsidP="00046085">
      <w:pPr>
        <w:pStyle w:val="Listaconvietas2"/>
        <w:numPr>
          <w:ilvl w:val="0"/>
          <w:numId w:val="39"/>
        </w:numPr>
        <w:rPr>
          <w:lang w:val="es-ES"/>
        </w:rPr>
      </w:pPr>
      <w:r w:rsidRPr="00FD42C2">
        <w:rPr>
          <w:rFonts w:ascii="Cambria" w:hAnsi="Cambria"/>
          <w:b/>
        </w:rPr>
        <w:t>Amortización</w:t>
      </w:r>
      <w:r w:rsidRPr="00FD42C2">
        <w:rPr>
          <w:b/>
          <w:lang w:val="es-ES"/>
        </w:rPr>
        <w:t>:</w:t>
      </w:r>
      <w:r w:rsidRPr="00FD42C2">
        <w:rPr>
          <w:b/>
          <w:bCs/>
        </w:rPr>
        <w:t xml:space="preserve"> </w:t>
      </w:r>
      <w:r w:rsidRPr="00FD42C2">
        <w:rPr>
          <w:rFonts w:ascii="Cambria" w:hAnsi="Cambria"/>
        </w:rPr>
        <w:t xml:space="preserve">La </w:t>
      </w:r>
      <w:r w:rsidR="000879E3" w:rsidRPr="00FD42C2">
        <w:rPr>
          <w:rFonts w:ascii="Cambria" w:hAnsi="Cambria"/>
        </w:rPr>
        <w:t>SERIE</w:t>
      </w:r>
      <w:r w:rsidR="00830D33" w:rsidRPr="00FD42C2">
        <w:rPr>
          <w:rFonts w:ascii="Cambria" w:hAnsi="Cambria"/>
        </w:rPr>
        <w:t xml:space="preserve"> </w:t>
      </w:r>
      <w:r w:rsidR="00FD42C2" w:rsidRPr="00FD42C2">
        <w:rPr>
          <w:rFonts w:ascii="Cambria" w:hAnsi="Cambria"/>
        </w:rPr>
        <w:t>3</w:t>
      </w:r>
      <w:r w:rsidR="006A59B0">
        <w:rPr>
          <w:rFonts w:ascii="Cambria" w:hAnsi="Cambria"/>
        </w:rPr>
        <w:t>2</w:t>
      </w:r>
      <w:r w:rsidR="00157858" w:rsidRPr="00FD42C2">
        <w:rPr>
          <w:rFonts w:ascii="Cambria" w:hAnsi="Cambria"/>
        </w:rPr>
        <w:t xml:space="preserve"> </w:t>
      </w:r>
      <w:r w:rsidR="00BA282A" w:rsidRPr="00FD42C2">
        <w:rPr>
          <w:rFonts w:ascii="Cambria" w:hAnsi="Cambria"/>
        </w:rPr>
        <w:t>se</w:t>
      </w:r>
      <w:r w:rsidR="00271E3E" w:rsidRPr="00FD42C2">
        <w:rPr>
          <w:rFonts w:ascii="Cambria" w:hAnsi="Cambria"/>
        </w:rPr>
        <w:t xml:space="preserve"> </w:t>
      </w:r>
      <w:r w:rsidRPr="00FD42C2">
        <w:rPr>
          <w:rFonts w:ascii="Cambria" w:hAnsi="Cambria"/>
        </w:rPr>
        <w:t>amortizará el 100% de su capital al vencimiento</w:t>
      </w:r>
      <w:r w:rsidRPr="00FD42C2">
        <w:rPr>
          <w:lang w:val="es-ES"/>
        </w:rPr>
        <w:t>.</w:t>
      </w:r>
    </w:p>
    <w:p w:rsidR="008342D3" w:rsidRDefault="008342D3" w:rsidP="0098238C">
      <w:pPr>
        <w:pStyle w:val="Listaconvietas2"/>
        <w:numPr>
          <w:ilvl w:val="0"/>
          <w:numId w:val="39"/>
        </w:numPr>
        <w:rPr>
          <w:lang w:val="es-ES"/>
        </w:rPr>
      </w:pPr>
      <w:r w:rsidRPr="002733B9">
        <w:rPr>
          <w:rFonts w:ascii="Cambria" w:hAnsi="Cambria" w:cs="TrebuchetMS"/>
          <w:b/>
          <w:szCs w:val="22"/>
        </w:rPr>
        <w:t>Mecanismo de colocación</w:t>
      </w:r>
      <w:r w:rsidRPr="002733B9">
        <w:rPr>
          <w:rFonts w:ascii="Cambria" w:hAnsi="Cambria"/>
        </w:rPr>
        <w:t>: Licitación pública en rueda del MAV mediante presentación de las órdenes de suscripción ante los Colocadores</w:t>
      </w:r>
      <w:r w:rsidRPr="003837AB">
        <w:rPr>
          <w:lang w:val="es-ES"/>
        </w:rPr>
        <w:t xml:space="preserve">. </w:t>
      </w:r>
    </w:p>
    <w:p w:rsidR="006A59B0" w:rsidRPr="003837AB" w:rsidRDefault="006A59B0" w:rsidP="006A59B0">
      <w:pPr>
        <w:numPr>
          <w:ilvl w:val="0"/>
          <w:numId w:val="39"/>
        </w:numPr>
        <w:jc w:val="both"/>
        <w:rPr>
          <w:rFonts w:ascii="Cambria" w:hAnsi="Cambria" w:cs="TrebuchetMS"/>
          <w:szCs w:val="22"/>
          <w:lang w:val="es-ES"/>
        </w:rPr>
      </w:pPr>
      <w:r w:rsidRPr="006A59B0">
        <w:rPr>
          <w:rFonts w:ascii="Cambria" w:hAnsi="Cambria" w:cs="TrebuchetMS"/>
          <w:b/>
          <w:szCs w:val="22"/>
        </w:rPr>
        <w:t>A</w:t>
      </w:r>
      <w:r w:rsidR="00926B50" w:rsidRPr="006A59B0">
        <w:rPr>
          <w:rFonts w:ascii="Cambria" w:hAnsi="Cambria" w:cs="TrebuchetMS"/>
          <w:b/>
          <w:szCs w:val="22"/>
        </w:rPr>
        <w:t>djudicación:</w:t>
      </w:r>
      <w:r w:rsidR="00FB7FE9" w:rsidRPr="006A59B0">
        <w:rPr>
          <w:rFonts w:ascii="Cambria" w:hAnsi="Cambria" w:cs="TrebuchetMS"/>
          <w:szCs w:val="22"/>
        </w:rPr>
        <w:t xml:space="preserve"> </w:t>
      </w:r>
      <w:r w:rsidRPr="009C7BFA">
        <w:rPr>
          <w:rFonts w:ascii="Cambria" w:hAnsi="Cambria" w:cs="TrebuchetMS"/>
          <w:b/>
          <w:szCs w:val="22"/>
          <w:lang w:val="es-ES"/>
        </w:rPr>
        <w:t>:</w:t>
      </w:r>
      <w:r>
        <w:rPr>
          <w:rFonts w:ascii="Cambria" w:hAnsi="Cambria" w:cs="TrebuchetMS"/>
          <w:szCs w:val="22"/>
          <w:lang w:val="es-ES"/>
        </w:rPr>
        <w:t xml:space="preserve"> </w:t>
      </w:r>
      <w:r w:rsidRPr="007C75FE">
        <w:rPr>
          <w:rFonts w:ascii="Cambria" w:hAnsi="Cambria" w:cs="TrebuchetMS"/>
          <w:szCs w:val="22"/>
          <w:lang w:val="es-ES"/>
        </w:rPr>
        <w:t>Las ofertas correspondientes a l</w:t>
      </w:r>
      <w:r>
        <w:rPr>
          <w:rFonts w:ascii="Cambria" w:hAnsi="Cambria" w:cs="TrebuchetMS"/>
          <w:szCs w:val="22"/>
          <w:lang w:val="es-ES"/>
        </w:rPr>
        <w:t>a</w:t>
      </w:r>
      <w:r w:rsidRPr="007C75FE">
        <w:rPr>
          <w:rFonts w:ascii="Cambria" w:hAnsi="Cambria" w:cs="TrebuchetMS"/>
          <w:szCs w:val="22"/>
          <w:lang w:val="es-ES"/>
        </w:rPr>
        <w:t xml:space="preserve">s </w:t>
      </w:r>
      <w:r>
        <w:rPr>
          <w:rFonts w:ascii="Cambria" w:hAnsi="Cambria" w:cs="TrebuchetMS"/>
          <w:szCs w:val="22"/>
          <w:lang w:val="es-ES"/>
        </w:rPr>
        <w:t>letras</w:t>
      </w:r>
      <w:r w:rsidRPr="007C75FE">
        <w:rPr>
          <w:rFonts w:ascii="Cambria" w:hAnsi="Cambria" w:cs="TrebuchetMS"/>
          <w:szCs w:val="22"/>
          <w:lang w:val="es-ES"/>
        </w:rPr>
        <w:t xml:space="preserve"> serán automáticamente ordenadas en el sistema </w:t>
      </w:r>
      <w:r>
        <w:rPr>
          <w:rFonts w:ascii="Cambria" w:hAnsi="Cambria" w:cs="TrebuchetMS"/>
          <w:szCs w:val="22"/>
          <w:lang w:val="es-ES"/>
        </w:rPr>
        <w:t>SEMAV del MAV</w:t>
      </w:r>
      <w:r w:rsidRPr="007C75FE">
        <w:rPr>
          <w:rFonts w:ascii="Cambria" w:hAnsi="Cambria" w:cs="TrebuchetMS"/>
          <w:szCs w:val="22"/>
          <w:lang w:val="es-ES"/>
        </w:rPr>
        <w:t xml:space="preserve"> sobre la base de</w:t>
      </w:r>
      <w:r>
        <w:rPr>
          <w:rFonts w:ascii="Cambria" w:hAnsi="Cambria" w:cs="TrebuchetMS"/>
          <w:szCs w:val="22"/>
          <w:lang w:val="es-ES"/>
        </w:rPr>
        <w:t>l</w:t>
      </w:r>
      <w:r w:rsidRPr="007C75FE">
        <w:rPr>
          <w:rFonts w:ascii="Cambria" w:hAnsi="Cambria" w:cs="TrebuchetMS"/>
          <w:szCs w:val="22"/>
          <w:lang w:val="es-ES"/>
        </w:rPr>
        <w:t xml:space="preserve"> </w:t>
      </w:r>
      <w:r>
        <w:rPr>
          <w:rFonts w:ascii="Cambria" w:hAnsi="Cambria" w:cs="TrebuchetMS"/>
          <w:szCs w:val="22"/>
          <w:lang w:val="es-ES"/>
        </w:rPr>
        <w:t>Margen solicitado</w:t>
      </w:r>
      <w:r w:rsidRPr="007C75FE">
        <w:rPr>
          <w:rFonts w:ascii="Cambria" w:hAnsi="Cambria" w:cs="TrebuchetMS"/>
          <w:szCs w:val="22"/>
          <w:lang w:val="es-ES"/>
        </w:rPr>
        <w:t xml:space="preserve">, y la adjudicación será </w:t>
      </w:r>
      <w:r w:rsidRPr="00BC6CB4">
        <w:rPr>
          <w:rFonts w:ascii="Cambria" w:hAnsi="Cambria" w:cs="TrebuchetMS"/>
          <w:szCs w:val="22"/>
          <w:lang w:val="es-ES"/>
        </w:rPr>
        <w:t>realizada de la siguiente forma, hasta la suma del valor nominal que la Municipalidad decida</w:t>
      </w:r>
      <w:r w:rsidRPr="007C75FE">
        <w:rPr>
          <w:rFonts w:ascii="Cambria" w:hAnsi="Cambria" w:cs="TrebuchetMS"/>
          <w:szCs w:val="22"/>
          <w:lang w:val="es-ES"/>
        </w:rPr>
        <w:t xml:space="preserve"> emitir: (i) las ofertas con </w:t>
      </w:r>
      <w:r>
        <w:rPr>
          <w:rFonts w:ascii="Cambria" w:hAnsi="Cambria" w:cs="TrebuchetMS"/>
          <w:szCs w:val="22"/>
          <w:lang w:val="es-ES"/>
        </w:rPr>
        <w:t>Margen Solicitado inferior al Margen de Corte</w:t>
      </w:r>
      <w:r w:rsidRPr="007C75FE">
        <w:rPr>
          <w:rFonts w:ascii="Cambria" w:hAnsi="Cambria" w:cs="TrebuchetMS"/>
          <w:szCs w:val="22"/>
          <w:lang w:val="es-ES"/>
        </w:rPr>
        <w:t>, serán adjudicadas en su totalidad, salvo que dichas ofertas excedan el monto a emitirse</w:t>
      </w:r>
      <w:r>
        <w:rPr>
          <w:rFonts w:ascii="Cambria" w:hAnsi="Cambria" w:cs="TrebuchetMS"/>
          <w:szCs w:val="22"/>
          <w:lang w:val="es-ES"/>
        </w:rPr>
        <w:t xml:space="preserve"> de </w:t>
      </w:r>
      <w:r w:rsidR="008B3BD1">
        <w:rPr>
          <w:rFonts w:ascii="Cambria" w:hAnsi="Cambria" w:cs="TrebuchetMS"/>
          <w:szCs w:val="22"/>
          <w:lang w:val="es-ES"/>
        </w:rPr>
        <w:t>la</w:t>
      </w:r>
      <w:r>
        <w:rPr>
          <w:rFonts w:ascii="Cambria" w:hAnsi="Cambria" w:cs="TrebuchetMS"/>
          <w:szCs w:val="22"/>
          <w:lang w:val="es-ES"/>
        </w:rPr>
        <w:t xml:space="preserve"> Serie</w:t>
      </w:r>
      <w:r w:rsidRPr="007C75FE">
        <w:rPr>
          <w:rFonts w:ascii="Cambria" w:hAnsi="Cambria" w:cs="TrebuchetMS"/>
          <w:szCs w:val="22"/>
          <w:lang w:val="es-ES"/>
        </w:rPr>
        <w:t xml:space="preserve">, en cuyo caso serán adjudicadas a prorrata sobre la base del monto solicitado. Si como resultado de los prorrateos, el monto a asignar a una oferta fuera un monto inferior a la unidad mínima de negociación, a esa oferta no se le asignarán </w:t>
      </w:r>
      <w:r>
        <w:rPr>
          <w:rFonts w:ascii="Cambria" w:hAnsi="Cambria" w:cs="TrebuchetMS"/>
          <w:szCs w:val="22"/>
          <w:lang w:val="es-ES"/>
        </w:rPr>
        <w:t>letras</w:t>
      </w:r>
      <w:r w:rsidRPr="007C75FE">
        <w:rPr>
          <w:rFonts w:ascii="Cambria" w:hAnsi="Cambria" w:cs="TrebuchetMS"/>
          <w:szCs w:val="22"/>
          <w:lang w:val="es-ES"/>
        </w:rPr>
        <w:t xml:space="preserve"> y el monto no asignado a tal oferta será distribuido de conformidad con los mecanismos del sistema </w:t>
      </w:r>
      <w:r>
        <w:rPr>
          <w:rFonts w:ascii="Cambria" w:hAnsi="Cambria" w:cs="TrebuchetMS"/>
          <w:szCs w:val="22"/>
          <w:lang w:val="es-ES"/>
        </w:rPr>
        <w:t>SEMAV</w:t>
      </w:r>
      <w:r w:rsidRPr="007C75FE">
        <w:rPr>
          <w:rFonts w:ascii="Cambria" w:hAnsi="Cambria" w:cs="TrebuchetMS"/>
          <w:szCs w:val="22"/>
          <w:lang w:val="es-ES"/>
        </w:rPr>
        <w:t xml:space="preserve">; (ii) las ofertas con </w:t>
      </w:r>
      <w:r>
        <w:rPr>
          <w:rFonts w:ascii="Cambria" w:hAnsi="Cambria" w:cs="TrebuchetMS"/>
          <w:szCs w:val="22"/>
          <w:lang w:val="es-ES"/>
        </w:rPr>
        <w:t xml:space="preserve">Margen Solicitado </w:t>
      </w:r>
      <w:r w:rsidRPr="007C75FE">
        <w:rPr>
          <w:rFonts w:ascii="Cambria" w:hAnsi="Cambria" w:cs="TrebuchetMS"/>
          <w:szCs w:val="22"/>
          <w:lang w:val="es-ES"/>
        </w:rPr>
        <w:t xml:space="preserve">igual a la </w:t>
      </w:r>
      <w:r>
        <w:rPr>
          <w:rFonts w:ascii="Cambria" w:hAnsi="Cambria" w:cs="TrebuchetMS"/>
          <w:szCs w:val="22"/>
          <w:lang w:val="es-ES"/>
        </w:rPr>
        <w:t xml:space="preserve">Margen de Corte </w:t>
      </w:r>
      <w:r w:rsidRPr="007C75FE">
        <w:rPr>
          <w:rFonts w:ascii="Cambria" w:hAnsi="Cambria" w:cs="TrebuchetMS"/>
          <w:szCs w:val="22"/>
          <w:lang w:val="es-ES"/>
        </w:rPr>
        <w:t xml:space="preserve">serán adjudicadas, de ser posible, luego de alocadas las Órdenes de Compra en virtud del punto (i) precedente o, en su caso, alocadas a prorrata sobre la base del monto solicitado; y (iii) las ofertas con </w:t>
      </w:r>
      <w:r>
        <w:rPr>
          <w:rFonts w:ascii="Cambria" w:hAnsi="Cambria" w:cs="TrebuchetMS"/>
          <w:szCs w:val="22"/>
          <w:lang w:val="es-ES"/>
        </w:rPr>
        <w:t xml:space="preserve">Margen Solicitado </w:t>
      </w:r>
      <w:r w:rsidRPr="007C75FE">
        <w:rPr>
          <w:rFonts w:ascii="Cambria" w:hAnsi="Cambria" w:cs="TrebuchetMS"/>
          <w:szCs w:val="22"/>
          <w:lang w:val="es-ES"/>
        </w:rPr>
        <w:t>superior a</w:t>
      </w:r>
      <w:r>
        <w:rPr>
          <w:rFonts w:ascii="Cambria" w:hAnsi="Cambria" w:cs="TrebuchetMS"/>
          <w:szCs w:val="22"/>
          <w:lang w:val="es-ES"/>
        </w:rPr>
        <w:t>l</w:t>
      </w:r>
      <w:r w:rsidRPr="007C75FE">
        <w:rPr>
          <w:rFonts w:ascii="Cambria" w:hAnsi="Cambria" w:cs="TrebuchetMS"/>
          <w:szCs w:val="22"/>
          <w:lang w:val="es-ES"/>
        </w:rPr>
        <w:t xml:space="preserve"> </w:t>
      </w:r>
      <w:r>
        <w:rPr>
          <w:rFonts w:ascii="Cambria" w:hAnsi="Cambria" w:cs="TrebuchetMS"/>
          <w:szCs w:val="22"/>
          <w:lang w:val="es-ES"/>
        </w:rPr>
        <w:t>Margen de Corte</w:t>
      </w:r>
      <w:r w:rsidRPr="007C75FE">
        <w:rPr>
          <w:rFonts w:ascii="Cambria" w:hAnsi="Cambria" w:cs="TrebuchetMS"/>
          <w:szCs w:val="22"/>
          <w:lang w:val="es-ES"/>
        </w:rPr>
        <w:t>, no serán adjudicadas.</w:t>
      </w:r>
    </w:p>
    <w:p w:rsidR="00AA0834" w:rsidRPr="006A59B0" w:rsidRDefault="00AA0834" w:rsidP="00CC70CB">
      <w:pPr>
        <w:pStyle w:val="Listaconvietas2"/>
        <w:numPr>
          <w:ilvl w:val="0"/>
          <w:numId w:val="0"/>
        </w:numPr>
        <w:ind w:left="360"/>
        <w:jc w:val="center"/>
        <w:rPr>
          <w:rFonts w:ascii="Cambria" w:hAnsi="Cambria"/>
          <w:b/>
          <w:smallCaps/>
          <w:sz w:val="28"/>
          <w:szCs w:val="28"/>
          <w:u w:val="single"/>
        </w:rPr>
      </w:pPr>
    </w:p>
    <w:p w:rsidR="00756761" w:rsidRDefault="00756761" w:rsidP="007E2925">
      <w:pPr>
        <w:jc w:val="center"/>
        <w:rPr>
          <w:rFonts w:ascii="Cambria" w:hAnsi="Cambria"/>
          <w:b/>
          <w:smallCaps/>
          <w:sz w:val="28"/>
          <w:szCs w:val="28"/>
          <w:u w:val="single"/>
        </w:rPr>
      </w:pPr>
    </w:p>
    <w:p w:rsidR="00756761" w:rsidRDefault="00756761" w:rsidP="007E2925">
      <w:pPr>
        <w:jc w:val="center"/>
        <w:rPr>
          <w:rFonts w:ascii="Cambria" w:hAnsi="Cambria"/>
          <w:b/>
          <w:smallCaps/>
          <w:sz w:val="28"/>
          <w:szCs w:val="28"/>
          <w:u w:val="single"/>
        </w:rPr>
      </w:pPr>
    </w:p>
    <w:p w:rsidR="00756761" w:rsidRDefault="00756761" w:rsidP="007E2925">
      <w:pPr>
        <w:jc w:val="center"/>
        <w:rPr>
          <w:rFonts w:ascii="Cambria" w:hAnsi="Cambria"/>
          <w:b/>
          <w:smallCaps/>
          <w:sz w:val="28"/>
          <w:szCs w:val="28"/>
          <w:u w:val="single"/>
        </w:rPr>
      </w:pPr>
    </w:p>
    <w:p w:rsidR="00756761" w:rsidRDefault="00756761" w:rsidP="007E2925">
      <w:pPr>
        <w:jc w:val="center"/>
        <w:rPr>
          <w:rFonts w:ascii="Cambria" w:hAnsi="Cambria"/>
          <w:b/>
          <w:smallCaps/>
          <w:sz w:val="28"/>
          <w:szCs w:val="28"/>
          <w:u w:val="single"/>
        </w:rPr>
      </w:pPr>
    </w:p>
    <w:p w:rsidR="00B04F5F" w:rsidRDefault="00B04F5F" w:rsidP="007E2925">
      <w:pPr>
        <w:jc w:val="center"/>
        <w:rPr>
          <w:rFonts w:ascii="Cambria" w:hAnsi="Cambria"/>
          <w:b/>
          <w:smallCaps/>
          <w:sz w:val="28"/>
          <w:szCs w:val="28"/>
          <w:u w:val="single"/>
        </w:rPr>
      </w:pPr>
    </w:p>
    <w:p w:rsidR="00756761" w:rsidRDefault="00756761" w:rsidP="007E2925">
      <w:pPr>
        <w:jc w:val="center"/>
        <w:rPr>
          <w:rFonts w:ascii="Cambria" w:hAnsi="Cambria"/>
          <w:b/>
          <w:smallCaps/>
          <w:sz w:val="28"/>
          <w:szCs w:val="28"/>
          <w:u w:val="single"/>
        </w:rPr>
      </w:pPr>
    </w:p>
    <w:p w:rsidR="00756761" w:rsidRDefault="00756761" w:rsidP="007E2925">
      <w:pPr>
        <w:jc w:val="center"/>
        <w:rPr>
          <w:rFonts w:ascii="Cambria" w:hAnsi="Cambria"/>
          <w:b/>
          <w:smallCaps/>
          <w:sz w:val="28"/>
          <w:szCs w:val="28"/>
          <w:u w:val="single"/>
        </w:rPr>
      </w:pPr>
    </w:p>
    <w:p w:rsidR="00D05C1E" w:rsidRDefault="00000705" w:rsidP="0098238C">
      <w:pPr>
        <w:pStyle w:val="Ttulo2"/>
        <w:rPr>
          <w:rFonts w:ascii="Cambria" w:hAnsi="Cambria"/>
          <w:b/>
          <w:color w:val="auto"/>
          <w:sz w:val="32"/>
        </w:rPr>
      </w:pPr>
      <w:r w:rsidRPr="00F91ED4">
        <w:rPr>
          <w:rFonts w:ascii="Cambria" w:hAnsi="Cambria"/>
          <w:b/>
          <w:color w:val="auto"/>
          <w:sz w:val="32"/>
        </w:rPr>
        <w:t>Garantía</w:t>
      </w:r>
    </w:p>
    <w:p w:rsidR="00F91ED4" w:rsidRPr="00F91ED4" w:rsidRDefault="00F91ED4" w:rsidP="00F91ED4">
      <w:pPr>
        <w:rPr>
          <w:lang w:val="es-ES"/>
        </w:rPr>
      </w:pPr>
    </w:p>
    <w:p w:rsidR="003E46FC" w:rsidRPr="002733B9" w:rsidRDefault="00000705" w:rsidP="0098238C">
      <w:pPr>
        <w:pStyle w:val="Textoindependiente"/>
        <w:rPr>
          <w:rFonts w:ascii="Cambria" w:hAnsi="Cambria" w:cs="Times New Roman"/>
          <w:b w:val="0"/>
          <w:bCs w:val="0"/>
          <w:color w:val="auto"/>
          <w:sz w:val="22"/>
          <w:lang w:val="es-AR"/>
        </w:rPr>
      </w:pPr>
      <w:r w:rsidRPr="002733B9">
        <w:rPr>
          <w:rFonts w:ascii="Cambria" w:hAnsi="Cambria" w:cs="Times New Roman"/>
          <w:b w:val="0"/>
          <w:bCs w:val="0"/>
          <w:color w:val="auto"/>
          <w:sz w:val="22"/>
          <w:lang w:val="es-AR"/>
        </w:rPr>
        <w:t>A fin de cumplir con la afectación en garantía y pago dispuesta por el Decreto, conforme la autorización otorgada por la Ordenanza, la Municipalidad ha ce</w:t>
      </w:r>
      <w:r w:rsidR="003E46FC" w:rsidRPr="002733B9">
        <w:rPr>
          <w:rFonts w:ascii="Cambria" w:hAnsi="Cambria" w:cs="Times New Roman"/>
          <w:b w:val="0"/>
          <w:bCs w:val="0"/>
          <w:color w:val="auto"/>
          <w:sz w:val="22"/>
          <w:lang w:val="es-AR"/>
        </w:rPr>
        <w:t xml:space="preserve">dido en garantía de las Letras la recaudación actual y futura proveniente de la Contribución Afectada. Con el objeto de dar cumplimiento a lo dispuesto en </w:t>
      </w:r>
      <w:r w:rsidR="00D274F5" w:rsidRPr="002733B9">
        <w:rPr>
          <w:rFonts w:ascii="Cambria" w:hAnsi="Cambria" w:cs="Times New Roman"/>
          <w:b w:val="0"/>
          <w:bCs w:val="0"/>
          <w:color w:val="auto"/>
          <w:sz w:val="22"/>
          <w:lang w:val="es-AR"/>
        </w:rPr>
        <w:t>e</w:t>
      </w:r>
      <w:r w:rsidR="003E46FC" w:rsidRPr="002733B9">
        <w:rPr>
          <w:rFonts w:ascii="Cambria" w:hAnsi="Cambria" w:cs="Times New Roman"/>
          <w:b w:val="0"/>
          <w:bCs w:val="0"/>
          <w:color w:val="auto"/>
          <w:sz w:val="22"/>
          <w:lang w:val="es-AR"/>
        </w:rPr>
        <w:t xml:space="preserve">l artículo </w:t>
      </w:r>
      <w:r w:rsidR="00D274F5" w:rsidRPr="002733B9">
        <w:rPr>
          <w:rFonts w:ascii="Cambria" w:hAnsi="Cambria" w:cs="Times New Roman"/>
          <w:b w:val="0"/>
          <w:bCs w:val="0"/>
          <w:color w:val="auto"/>
          <w:sz w:val="22"/>
          <w:lang w:val="es-AR"/>
        </w:rPr>
        <w:t>1620</w:t>
      </w:r>
      <w:r w:rsidR="003E46FC" w:rsidRPr="002733B9">
        <w:rPr>
          <w:rFonts w:ascii="Cambria" w:hAnsi="Cambria" w:cs="Times New Roman"/>
          <w:b w:val="0"/>
          <w:bCs w:val="0"/>
          <w:color w:val="auto"/>
          <w:sz w:val="22"/>
          <w:lang w:val="es-AR"/>
        </w:rPr>
        <w:t xml:space="preserve"> del Código Civil</w:t>
      </w:r>
      <w:r w:rsidR="00D274F5" w:rsidRPr="002733B9">
        <w:rPr>
          <w:rFonts w:ascii="Cambria" w:hAnsi="Cambria" w:cs="Times New Roman"/>
          <w:b w:val="0"/>
          <w:bCs w:val="0"/>
          <w:color w:val="auto"/>
          <w:sz w:val="22"/>
          <w:lang w:val="es-AR"/>
        </w:rPr>
        <w:t xml:space="preserve"> y Comercial de la Nación</w:t>
      </w:r>
      <w:r w:rsidR="003E46FC" w:rsidRPr="002733B9">
        <w:rPr>
          <w:rFonts w:ascii="Cambria" w:hAnsi="Cambria" w:cs="Times New Roman"/>
          <w:b w:val="0"/>
          <w:bCs w:val="0"/>
          <w:color w:val="auto"/>
          <w:sz w:val="22"/>
          <w:lang w:val="es-AR"/>
        </w:rPr>
        <w:t>, la cesión en garantía ha sido notificada a los deudores cedidos mediante la publicación de la Ordenanza y del Decreto en el Boletín Municipal</w:t>
      </w:r>
      <w:r w:rsidR="00166957" w:rsidRPr="002733B9">
        <w:rPr>
          <w:rFonts w:ascii="Cambria" w:hAnsi="Cambria" w:cs="Times New Roman"/>
          <w:b w:val="0"/>
          <w:bCs w:val="0"/>
          <w:color w:val="auto"/>
          <w:sz w:val="22"/>
          <w:lang w:val="es-AR"/>
        </w:rPr>
        <w:t>.</w:t>
      </w:r>
    </w:p>
    <w:p w:rsidR="00000705" w:rsidRPr="002733B9" w:rsidRDefault="00000705" w:rsidP="0098238C">
      <w:pPr>
        <w:pStyle w:val="Textoindependiente"/>
        <w:rPr>
          <w:rFonts w:ascii="Cambria" w:hAnsi="Cambria" w:cs="Times New Roman"/>
          <w:b w:val="0"/>
          <w:bCs w:val="0"/>
          <w:color w:val="auto"/>
          <w:sz w:val="22"/>
          <w:lang w:val="es-AR"/>
        </w:rPr>
      </w:pPr>
      <w:r w:rsidRPr="002733B9">
        <w:rPr>
          <w:rFonts w:ascii="Cambria" w:hAnsi="Cambria" w:cs="Times New Roman"/>
          <w:b w:val="0"/>
          <w:bCs w:val="0"/>
          <w:color w:val="auto"/>
          <w:sz w:val="22"/>
          <w:lang w:val="es-AR"/>
        </w:rPr>
        <w:t>Hasta la total cancelación de las sumas emit</w:t>
      </w:r>
      <w:r w:rsidR="00EA1BCA">
        <w:rPr>
          <w:rFonts w:ascii="Cambria" w:hAnsi="Cambria" w:cs="Times New Roman"/>
          <w:b w:val="0"/>
          <w:bCs w:val="0"/>
          <w:color w:val="auto"/>
          <w:sz w:val="22"/>
          <w:lang w:val="es-AR"/>
        </w:rPr>
        <w:t>idas, la Municipalidad se obliga,</w:t>
      </w:r>
      <w:r w:rsidRPr="002733B9">
        <w:rPr>
          <w:rFonts w:ascii="Cambria" w:hAnsi="Cambria" w:cs="Times New Roman"/>
          <w:b w:val="0"/>
          <w:bCs w:val="0"/>
          <w:color w:val="auto"/>
          <w:sz w:val="22"/>
          <w:lang w:val="es-AR"/>
        </w:rPr>
        <w:t xml:space="preserve"> en forma irrevocable</w:t>
      </w:r>
      <w:r w:rsidR="00EA1BCA">
        <w:rPr>
          <w:rFonts w:ascii="Cambria" w:hAnsi="Cambria" w:cs="Times New Roman"/>
          <w:b w:val="0"/>
          <w:bCs w:val="0"/>
          <w:color w:val="auto"/>
          <w:sz w:val="22"/>
          <w:lang w:val="es-AR"/>
        </w:rPr>
        <w:t>,</w:t>
      </w:r>
      <w:r w:rsidRPr="002733B9">
        <w:rPr>
          <w:rFonts w:ascii="Cambria" w:hAnsi="Cambria" w:cs="Times New Roman"/>
          <w:b w:val="0"/>
          <w:bCs w:val="0"/>
          <w:color w:val="auto"/>
          <w:sz w:val="22"/>
          <w:lang w:val="es-AR"/>
        </w:rPr>
        <w:t xml:space="preserve"> a que la totalidad de la recaudación por la Contribución Afectada sea acredita</w:t>
      </w:r>
      <w:r w:rsidR="00230D01" w:rsidRPr="002733B9">
        <w:rPr>
          <w:rFonts w:ascii="Cambria" w:hAnsi="Cambria" w:cs="Times New Roman"/>
          <w:b w:val="0"/>
          <w:bCs w:val="0"/>
          <w:color w:val="auto"/>
          <w:sz w:val="22"/>
          <w:lang w:val="es-AR"/>
        </w:rPr>
        <w:t xml:space="preserve">da en la cuenta corriente </w:t>
      </w:r>
      <w:r w:rsidRPr="002733B9">
        <w:rPr>
          <w:rFonts w:ascii="Cambria" w:hAnsi="Cambria" w:cs="Times New Roman"/>
          <w:b w:val="0"/>
          <w:bCs w:val="0"/>
          <w:color w:val="auto"/>
          <w:sz w:val="22"/>
          <w:lang w:val="es-AR"/>
        </w:rPr>
        <w:t xml:space="preserve">abierta en el </w:t>
      </w:r>
      <w:r w:rsidR="00E44B5E" w:rsidRPr="002733B9">
        <w:rPr>
          <w:rFonts w:ascii="Cambria" w:hAnsi="Cambria" w:cs="Times New Roman"/>
          <w:b w:val="0"/>
          <w:bCs w:val="0"/>
          <w:color w:val="auto"/>
          <w:sz w:val="22"/>
          <w:lang w:val="es-AR"/>
        </w:rPr>
        <w:t>Banco de la Provincia de Córdoba S.A.</w:t>
      </w:r>
      <w:r w:rsidRPr="002733B9">
        <w:rPr>
          <w:rFonts w:ascii="Cambria" w:hAnsi="Cambria" w:cs="Times New Roman"/>
          <w:b w:val="0"/>
          <w:bCs w:val="0"/>
          <w:color w:val="auto"/>
          <w:sz w:val="22"/>
          <w:lang w:val="es-AR"/>
        </w:rPr>
        <w:t xml:space="preserve">, que lleva el nro. </w:t>
      </w:r>
      <w:r w:rsidR="00E44B5E" w:rsidRPr="002733B9">
        <w:rPr>
          <w:rFonts w:ascii="Cambria" w:hAnsi="Cambria" w:cs="Times New Roman"/>
          <w:b w:val="0"/>
          <w:bCs w:val="0"/>
          <w:color w:val="auto"/>
          <w:sz w:val="22"/>
          <w:lang w:val="es-AR"/>
        </w:rPr>
        <w:t>2395/07</w:t>
      </w:r>
      <w:r w:rsidRPr="002733B9">
        <w:rPr>
          <w:rFonts w:ascii="Cambria" w:hAnsi="Cambria" w:cs="Times New Roman"/>
          <w:b w:val="0"/>
          <w:bCs w:val="0"/>
          <w:color w:val="auto"/>
          <w:sz w:val="22"/>
          <w:lang w:val="es-AR"/>
        </w:rPr>
        <w:t xml:space="preserve"> (la “Cuenta Recaudadora”) de titularidad del Municipio de la</w:t>
      </w:r>
      <w:r w:rsidR="00E44B5E" w:rsidRPr="002733B9">
        <w:rPr>
          <w:rFonts w:ascii="Cambria" w:hAnsi="Cambria" w:cs="Times New Roman"/>
          <w:b w:val="0"/>
          <w:bCs w:val="0"/>
          <w:color w:val="auto"/>
          <w:sz w:val="22"/>
          <w:lang w:val="es-AR"/>
        </w:rPr>
        <w:t xml:space="preserve"> Ciudad </w:t>
      </w:r>
      <w:r w:rsidR="00CD5538" w:rsidRPr="002733B9">
        <w:rPr>
          <w:rFonts w:ascii="Cambria" w:hAnsi="Cambria" w:cs="Times New Roman"/>
          <w:b w:val="0"/>
          <w:bCs w:val="0"/>
          <w:color w:val="auto"/>
          <w:sz w:val="22"/>
          <w:lang w:val="es-AR"/>
        </w:rPr>
        <w:t>de Córdoba</w:t>
      </w:r>
      <w:r w:rsidRPr="002733B9">
        <w:rPr>
          <w:rFonts w:ascii="Cambria" w:hAnsi="Cambria" w:cs="Times New Roman"/>
          <w:b w:val="0"/>
          <w:bCs w:val="0"/>
          <w:color w:val="auto"/>
          <w:sz w:val="22"/>
          <w:lang w:val="es-AR"/>
        </w:rPr>
        <w:t>.</w:t>
      </w:r>
      <w:r w:rsidR="00230D01" w:rsidRPr="002733B9">
        <w:rPr>
          <w:rFonts w:ascii="Cambria" w:hAnsi="Cambria" w:cs="Times New Roman"/>
          <w:b w:val="0"/>
          <w:bCs w:val="0"/>
          <w:color w:val="auto"/>
          <w:sz w:val="22"/>
          <w:lang w:val="es-AR"/>
        </w:rPr>
        <w:t xml:space="preserve"> De la Cuenta Recaudadora, </w:t>
      </w:r>
      <w:r w:rsidR="00E44B5E" w:rsidRPr="002733B9">
        <w:rPr>
          <w:rFonts w:ascii="Cambria" w:hAnsi="Cambria" w:cs="Times New Roman"/>
          <w:b w:val="0"/>
          <w:bCs w:val="0"/>
          <w:color w:val="auto"/>
          <w:sz w:val="22"/>
          <w:lang w:val="es-AR"/>
        </w:rPr>
        <w:t>BMR MANDATOS Y NEGOCIOS S.A.</w:t>
      </w:r>
      <w:r w:rsidRPr="002733B9">
        <w:rPr>
          <w:rFonts w:ascii="Cambria" w:hAnsi="Cambria" w:cs="Times New Roman"/>
          <w:b w:val="0"/>
          <w:bCs w:val="0"/>
          <w:color w:val="auto"/>
          <w:sz w:val="22"/>
          <w:lang w:val="es-AR"/>
        </w:rPr>
        <w:t xml:space="preserve"> podrá ordenar transferencias </w:t>
      </w:r>
      <w:r w:rsidR="00230D01" w:rsidRPr="002733B9">
        <w:rPr>
          <w:rFonts w:ascii="Cambria" w:hAnsi="Cambria" w:cs="Times New Roman"/>
          <w:b w:val="0"/>
          <w:bCs w:val="0"/>
          <w:color w:val="auto"/>
          <w:sz w:val="22"/>
          <w:lang w:val="es-AR"/>
        </w:rPr>
        <w:t>a la cuenta que se indica en el inciso siguiente, conforme a lo allí previsto.</w:t>
      </w:r>
      <w:r w:rsidRPr="002733B9">
        <w:rPr>
          <w:rFonts w:ascii="Cambria" w:hAnsi="Cambria" w:cs="Times New Roman"/>
          <w:b w:val="0"/>
          <w:bCs w:val="0"/>
          <w:color w:val="auto"/>
          <w:sz w:val="22"/>
          <w:lang w:val="es-AR"/>
        </w:rPr>
        <w:t> </w:t>
      </w:r>
    </w:p>
    <w:p w:rsidR="00000705" w:rsidRDefault="00000705" w:rsidP="0098238C">
      <w:pPr>
        <w:pStyle w:val="Textoindependiente"/>
        <w:rPr>
          <w:rFonts w:ascii="Cambria" w:hAnsi="Cambria" w:cs="Times New Roman"/>
          <w:b w:val="0"/>
          <w:bCs w:val="0"/>
          <w:color w:val="auto"/>
          <w:sz w:val="22"/>
          <w:lang w:val="es-AR"/>
        </w:rPr>
      </w:pPr>
      <w:r w:rsidRPr="002733B9">
        <w:rPr>
          <w:rFonts w:ascii="Cambria" w:hAnsi="Cambria" w:cs="Times New Roman"/>
          <w:b w:val="0"/>
          <w:bCs w:val="0"/>
          <w:color w:val="auto"/>
          <w:sz w:val="22"/>
          <w:lang w:val="es-AR"/>
        </w:rPr>
        <w:t>Durante la vigencia de las Letras la Cuenta Especial ope</w:t>
      </w:r>
      <w:r w:rsidR="00230D01" w:rsidRPr="002733B9">
        <w:rPr>
          <w:rFonts w:ascii="Cambria" w:hAnsi="Cambria" w:cs="Times New Roman"/>
          <w:b w:val="0"/>
          <w:bCs w:val="0"/>
          <w:color w:val="auto"/>
          <w:sz w:val="22"/>
          <w:lang w:val="es-AR"/>
        </w:rPr>
        <w:t xml:space="preserve">rada en forma exclusiva por </w:t>
      </w:r>
      <w:r w:rsidR="00E44B5E" w:rsidRPr="002733B9">
        <w:rPr>
          <w:rFonts w:ascii="Cambria" w:hAnsi="Cambria" w:cs="Times New Roman"/>
          <w:b w:val="0"/>
          <w:bCs w:val="0"/>
          <w:color w:val="auto"/>
          <w:sz w:val="22"/>
          <w:lang w:val="es-AR"/>
        </w:rPr>
        <w:t>BMR MANDATOS Y NEGOCIOS S.A.</w:t>
      </w:r>
      <w:r w:rsidR="000E679E" w:rsidRPr="002733B9">
        <w:rPr>
          <w:rFonts w:ascii="Cambria" w:hAnsi="Cambria" w:cs="Times New Roman"/>
          <w:b w:val="0"/>
          <w:bCs w:val="0"/>
          <w:color w:val="auto"/>
          <w:sz w:val="22"/>
          <w:lang w:val="es-AR"/>
        </w:rPr>
        <w:t xml:space="preserve"> </w:t>
      </w:r>
      <w:r w:rsidRPr="002733B9">
        <w:rPr>
          <w:rFonts w:ascii="Cambria" w:hAnsi="Cambria" w:cs="Times New Roman"/>
          <w:b w:val="0"/>
          <w:bCs w:val="0"/>
          <w:color w:val="auto"/>
          <w:sz w:val="22"/>
          <w:lang w:val="es-AR"/>
        </w:rPr>
        <w:t xml:space="preserve">deberá contar en las fechas </w:t>
      </w:r>
      <w:r w:rsidR="002E5019" w:rsidRPr="002733B9">
        <w:rPr>
          <w:rFonts w:ascii="Cambria" w:hAnsi="Cambria" w:cs="Times New Roman"/>
          <w:b w:val="0"/>
          <w:bCs w:val="0"/>
          <w:color w:val="auto"/>
          <w:sz w:val="22"/>
          <w:lang w:val="es-AR"/>
        </w:rPr>
        <w:t xml:space="preserve">de verificación </w:t>
      </w:r>
      <w:r w:rsidRPr="002733B9">
        <w:rPr>
          <w:rFonts w:ascii="Cambria" w:hAnsi="Cambria" w:cs="Times New Roman"/>
          <w:b w:val="0"/>
          <w:bCs w:val="0"/>
          <w:color w:val="auto"/>
          <w:sz w:val="22"/>
          <w:lang w:val="es-AR"/>
        </w:rPr>
        <w:t>que expone el cuadro a continuación con un monto equivalente a</w:t>
      </w:r>
      <w:r w:rsidR="000E679E" w:rsidRPr="002733B9">
        <w:rPr>
          <w:rFonts w:ascii="Cambria" w:hAnsi="Cambria" w:cs="Times New Roman"/>
          <w:b w:val="0"/>
          <w:bCs w:val="0"/>
          <w:color w:val="auto"/>
          <w:sz w:val="22"/>
          <w:lang w:val="es-AR"/>
        </w:rPr>
        <w:t>l</w:t>
      </w:r>
      <w:r w:rsidRPr="002733B9">
        <w:rPr>
          <w:rFonts w:ascii="Cambria" w:hAnsi="Cambria" w:cs="Times New Roman"/>
          <w:b w:val="0"/>
          <w:bCs w:val="0"/>
          <w:color w:val="auto"/>
          <w:sz w:val="22"/>
          <w:lang w:val="es-AR"/>
        </w:rPr>
        <w:t xml:space="preserve"> próximo servicio a pagar bajo las Letras</w:t>
      </w:r>
      <w:r w:rsidR="000E679E" w:rsidRPr="002733B9">
        <w:rPr>
          <w:rFonts w:ascii="Cambria" w:hAnsi="Cambria" w:cs="Times New Roman"/>
          <w:b w:val="0"/>
          <w:bCs w:val="0"/>
          <w:color w:val="auto"/>
          <w:sz w:val="22"/>
          <w:lang w:val="es-AR"/>
        </w:rPr>
        <w:t xml:space="preserve"> más un aforo del </w:t>
      </w:r>
      <w:r w:rsidR="0065249E" w:rsidRPr="002733B9">
        <w:rPr>
          <w:rFonts w:ascii="Cambria" w:hAnsi="Cambria" w:cs="Times New Roman"/>
          <w:b w:val="0"/>
          <w:bCs w:val="0"/>
          <w:color w:val="auto"/>
          <w:sz w:val="22"/>
          <w:lang w:val="es-AR"/>
        </w:rPr>
        <w:t>8</w:t>
      </w:r>
      <w:r w:rsidR="00E44B5E" w:rsidRPr="002733B9">
        <w:rPr>
          <w:rFonts w:ascii="Cambria" w:hAnsi="Cambria" w:cs="Times New Roman"/>
          <w:b w:val="0"/>
          <w:bCs w:val="0"/>
          <w:color w:val="auto"/>
          <w:sz w:val="22"/>
          <w:lang w:val="es-AR"/>
        </w:rPr>
        <w:t>%</w:t>
      </w:r>
      <w:r w:rsidRPr="002733B9">
        <w:rPr>
          <w:rFonts w:ascii="Cambria" w:hAnsi="Cambria" w:cs="Times New Roman"/>
          <w:b w:val="0"/>
          <w:bCs w:val="0"/>
          <w:color w:val="auto"/>
          <w:sz w:val="22"/>
          <w:lang w:val="es-AR"/>
        </w:rPr>
        <w:t>.</w:t>
      </w:r>
    </w:p>
    <w:p w:rsidR="008E60DE" w:rsidRDefault="008E60DE" w:rsidP="0098238C">
      <w:pPr>
        <w:pStyle w:val="Textoindependiente"/>
        <w:rPr>
          <w:rFonts w:ascii="Cambria" w:hAnsi="Cambria" w:cs="Times New Roman"/>
          <w:b w:val="0"/>
          <w:bCs w:val="0"/>
          <w:color w:val="auto"/>
          <w:sz w:val="22"/>
          <w:lang w:val="es-AR"/>
        </w:rPr>
      </w:pPr>
    </w:p>
    <w:p w:rsidR="008E60DE" w:rsidRDefault="006A59B0" w:rsidP="0098238C">
      <w:pPr>
        <w:pStyle w:val="Textoindependiente"/>
        <w:rPr>
          <w:rFonts w:ascii="Cambria" w:hAnsi="Cambria" w:cs="Times New Roman"/>
          <w:b w:val="0"/>
          <w:bCs w:val="0"/>
          <w:color w:val="auto"/>
          <w:sz w:val="22"/>
          <w:lang w:val="es-AR"/>
        </w:rPr>
      </w:pPr>
      <w:r w:rsidRPr="006A59B0">
        <w:rPr>
          <w:noProof/>
        </w:rPr>
        <w:drawing>
          <wp:inline distT="0" distB="0" distL="0" distR="0">
            <wp:extent cx="6057900" cy="1020212"/>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57900" cy="1020212"/>
                    </a:xfrm>
                    <a:prstGeom prst="rect">
                      <a:avLst/>
                    </a:prstGeom>
                    <a:noFill/>
                    <a:ln>
                      <a:noFill/>
                    </a:ln>
                  </pic:spPr>
                </pic:pic>
              </a:graphicData>
            </a:graphic>
          </wp:inline>
        </w:drawing>
      </w:r>
    </w:p>
    <w:p w:rsidR="00456923" w:rsidRPr="002733B9" w:rsidRDefault="00456923" w:rsidP="00C53C4F">
      <w:pPr>
        <w:jc w:val="center"/>
        <w:rPr>
          <w:rFonts w:ascii="Cambria" w:hAnsi="Cambria"/>
        </w:rPr>
      </w:pPr>
    </w:p>
    <w:p w:rsidR="00000705" w:rsidRPr="002733B9" w:rsidRDefault="00230D01" w:rsidP="0098238C">
      <w:pPr>
        <w:pStyle w:val="Textoindependiente"/>
        <w:rPr>
          <w:rFonts w:ascii="Cambria" w:hAnsi="Cambria" w:cs="Times New Roman"/>
          <w:b w:val="0"/>
          <w:bCs w:val="0"/>
          <w:color w:val="auto"/>
          <w:sz w:val="22"/>
          <w:lang w:val="es-AR"/>
        </w:rPr>
      </w:pPr>
      <w:r w:rsidRPr="002733B9">
        <w:rPr>
          <w:rFonts w:ascii="Cambria" w:hAnsi="Cambria" w:cs="Times New Roman"/>
          <w:b w:val="0"/>
          <w:bCs w:val="0"/>
          <w:color w:val="auto"/>
          <w:sz w:val="22"/>
          <w:lang w:val="es-AR"/>
        </w:rPr>
        <w:t xml:space="preserve">De esta manera </w:t>
      </w:r>
      <w:r w:rsidR="00E44B5E" w:rsidRPr="002733B9">
        <w:rPr>
          <w:rFonts w:ascii="Cambria" w:hAnsi="Cambria" w:cs="Times New Roman"/>
          <w:b w:val="0"/>
          <w:bCs w:val="0"/>
          <w:color w:val="auto"/>
          <w:sz w:val="22"/>
          <w:lang w:val="es-AR"/>
        </w:rPr>
        <w:t>BMR MANDATOS Y NEGOCIOS S.A.</w:t>
      </w:r>
      <w:r w:rsidR="000E679E" w:rsidRPr="002733B9">
        <w:rPr>
          <w:rFonts w:ascii="Cambria" w:hAnsi="Cambria" w:cs="Times New Roman"/>
          <w:b w:val="0"/>
          <w:bCs w:val="0"/>
          <w:color w:val="auto"/>
          <w:sz w:val="22"/>
          <w:lang w:val="es-AR"/>
        </w:rPr>
        <w:t xml:space="preserve"> </w:t>
      </w:r>
      <w:r w:rsidR="00000705" w:rsidRPr="002733B9">
        <w:rPr>
          <w:rFonts w:ascii="Cambria" w:hAnsi="Cambria" w:cs="Times New Roman"/>
          <w:b w:val="0"/>
          <w:bCs w:val="0"/>
          <w:color w:val="auto"/>
          <w:sz w:val="22"/>
          <w:lang w:val="es-AR"/>
        </w:rPr>
        <w:t xml:space="preserve">tiene facultades </w:t>
      </w:r>
      <w:r w:rsidR="00000705" w:rsidRPr="00DF6449">
        <w:rPr>
          <w:rFonts w:ascii="Cambria" w:hAnsi="Cambria" w:cs="Times New Roman"/>
          <w:b w:val="0"/>
          <w:bCs w:val="0"/>
          <w:color w:val="auto"/>
          <w:sz w:val="22"/>
          <w:lang w:val="es-AR"/>
        </w:rPr>
        <w:t>otorgada por poder por el</w:t>
      </w:r>
      <w:r w:rsidR="00000705" w:rsidRPr="002733B9">
        <w:rPr>
          <w:rFonts w:ascii="Cambria" w:hAnsi="Cambria" w:cs="Times New Roman"/>
          <w:b w:val="0"/>
          <w:bCs w:val="0"/>
          <w:color w:val="auto"/>
          <w:sz w:val="22"/>
          <w:lang w:val="es-AR"/>
        </w:rPr>
        <w:t xml:space="preserve"> Municipio para transferir a Caja de Valores los fondos suficientes para hacer frente al pago total de las Letras emitidas por el Municipio.</w:t>
      </w:r>
      <w:r w:rsidR="0034762D" w:rsidRPr="002733B9">
        <w:rPr>
          <w:rFonts w:ascii="Cambria" w:hAnsi="Cambria" w:cs="Times New Roman"/>
          <w:b w:val="0"/>
          <w:bCs w:val="0"/>
          <w:color w:val="auto"/>
          <w:sz w:val="22"/>
          <w:lang w:val="es-AR"/>
        </w:rPr>
        <w:t xml:space="preserve"> </w:t>
      </w:r>
    </w:p>
    <w:p w:rsidR="00A0502E" w:rsidRPr="002733B9" w:rsidRDefault="004F2317" w:rsidP="0098238C">
      <w:pPr>
        <w:pStyle w:val="Textoindependiente"/>
        <w:rPr>
          <w:rFonts w:ascii="Cambria" w:hAnsi="Cambria" w:cs="Times New Roman"/>
          <w:b w:val="0"/>
          <w:bCs w:val="0"/>
          <w:color w:val="auto"/>
          <w:sz w:val="22"/>
          <w:lang w:val="es-AR"/>
        </w:rPr>
      </w:pPr>
      <w:r w:rsidRPr="002733B9">
        <w:rPr>
          <w:rFonts w:ascii="Cambria" w:hAnsi="Cambria" w:cs="Times New Roman"/>
          <w:b w:val="0"/>
          <w:bCs w:val="0"/>
          <w:color w:val="auto"/>
          <w:sz w:val="22"/>
          <w:lang w:val="es-AR"/>
        </w:rPr>
        <w:t>Con el objetivo</w:t>
      </w:r>
      <w:r w:rsidR="00393ED1" w:rsidRPr="002733B9">
        <w:rPr>
          <w:rFonts w:ascii="Cambria" w:hAnsi="Cambria" w:cs="Times New Roman"/>
          <w:b w:val="0"/>
          <w:bCs w:val="0"/>
          <w:color w:val="auto"/>
          <w:sz w:val="22"/>
          <w:lang w:val="es-AR"/>
        </w:rPr>
        <w:t xml:space="preserve"> de ilustrar la solidez de la garantía, resulta relevante la dinámica que tuvo la Contribución Afectada en los últimos meses. A tales fines, se presenta a continuación un gráfico que resume su evolución. </w:t>
      </w:r>
    </w:p>
    <w:p w:rsidR="005673C9" w:rsidRDefault="005673C9" w:rsidP="00D27E74">
      <w:pPr>
        <w:rPr>
          <w:rFonts w:ascii="Cambria" w:hAnsi="Cambria"/>
          <w:i/>
          <w:sz w:val="18"/>
          <w:szCs w:val="18"/>
        </w:rPr>
      </w:pPr>
    </w:p>
    <w:p w:rsidR="00164F63" w:rsidRDefault="00164F63" w:rsidP="00D27E74">
      <w:pPr>
        <w:rPr>
          <w:rFonts w:ascii="Cambria" w:hAnsi="Cambria"/>
          <w:i/>
          <w:sz w:val="18"/>
          <w:szCs w:val="18"/>
        </w:rPr>
      </w:pPr>
    </w:p>
    <w:p w:rsidR="005744E0" w:rsidRDefault="005744E0" w:rsidP="0098238C">
      <w:pPr>
        <w:pStyle w:val="Textoindependiente"/>
        <w:rPr>
          <w:rFonts w:ascii="Trebuchet MS" w:hAnsi="Trebuchet MS" w:cs="Times New Roman"/>
          <w:b w:val="0"/>
          <w:bCs w:val="0"/>
          <w:color w:val="auto"/>
          <w:sz w:val="22"/>
        </w:rPr>
      </w:pPr>
    </w:p>
    <w:p w:rsidR="005744E0" w:rsidRDefault="005744E0" w:rsidP="0098238C">
      <w:pPr>
        <w:pStyle w:val="Textoindependiente"/>
        <w:rPr>
          <w:rFonts w:ascii="Trebuchet MS" w:hAnsi="Trebuchet MS" w:cs="Times New Roman"/>
          <w:b w:val="0"/>
          <w:bCs w:val="0"/>
          <w:color w:val="auto"/>
          <w:sz w:val="22"/>
        </w:rPr>
      </w:pPr>
    </w:p>
    <w:p w:rsidR="005744E0" w:rsidRDefault="005744E0" w:rsidP="0098238C">
      <w:pPr>
        <w:pStyle w:val="Textoindependiente"/>
        <w:rPr>
          <w:rFonts w:ascii="Trebuchet MS" w:hAnsi="Trebuchet MS" w:cs="Times New Roman"/>
          <w:b w:val="0"/>
          <w:bCs w:val="0"/>
          <w:color w:val="auto"/>
          <w:sz w:val="22"/>
        </w:rPr>
      </w:pPr>
    </w:p>
    <w:p w:rsidR="005744E0" w:rsidRDefault="005744E0" w:rsidP="0098238C">
      <w:pPr>
        <w:pStyle w:val="Textoindependiente"/>
        <w:rPr>
          <w:rFonts w:ascii="Trebuchet MS" w:hAnsi="Trebuchet MS" w:cs="Times New Roman"/>
          <w:b w:val="0"/>
          <w:bCs w:val="0"/>
          <w:color w:val="auto"/>
          <w:sz w:val="22"/>
        </w:rPr>
      </w:pPr>
    </w:p>
    <w:p w:rsidR="00316829" w:rsidRDefault="00316829" w:rsidP="0098238C">
      <w:pPr>
        <w:pStyle w:val="Textoindependiente"/>
        <w:rPr>
          <w:rFonts w:ascii="Trebuchet MS" w:hAnsi="Trebuchet MS" w:cs="Times New Roman"/>
          <w:b w:val="0"/>
          <w:bCs w:val="0"/>
          <w:color w:val="auto"/>
          <w:sz w:val="22"/>
        </w:rPr>
      </w:pPr>
    </w:p>
    <w:p w:rsidR="006A59B0" w:rsidRDefault="006A59B0" w:rsidP="0098238C">
      <w:pPr>
        <w:pStyle w:val="Textoindependiente"/>
        <w:rPr>
          <w:rFonts w:ascii="Trebuchet MS" w:hAnsi="Trebuchet MS" w:cs="Times New Roman"/>
          <w:b w:val="0"/>
          <w:bCs w:val="0"/>
          <w:color w:val="auto"/>
          <w:sz w:val="22"/>
        </w:rPr>
      </w:pPr>
    </w:p>
    <w:p w:rsidR="006A59B0" w:rsidRDefault="006A59B0" w:rsidP="0098238C">
      <w:pPr>
        <w:pStyle w:val="Textoindependiente"/>
        <w:rPr>
          <w:rFonts w:ascii="Trebuchet MS" w:hAnsi="Trebuchet MS" w:cs="Times New Roman"/>
          <w:b w:val="0"/>
          <w:bCs w:val="0"/>
          <w:color w:val="auto"/>
          <w:sz w:val="22"/>
        </w:rPr>
      </w:pPr>
    </w:p>
    <w:p w:rsidR="006A59B0" w:rsidRDefault="006A59B0" w:rsidP="0098238C">
      <w:pPr>
        <w:pStyle w:val="Textoindependiente"/>
        <w:rPr>
          <w:rFonts w:ascii="Trebuchet MS" w:hAnsi="Trebuchet MS" w:cs="Times New Roman"/>
          <w:b w:val="0"/>
          <w:bCs w:val="0"/>
          <w:color w:val="auto"/>
          <w:sz w:val="22"/>
        </w:rPr>
      </w:pPr>
    </w:p>
    <w:p w:rsidR="006A59B0" w:rsidRDefault="006A59B0" w:rsidP="0098238C">
      <w:pPr>
        <w:pStyle w:val="Textoindependiente"/>
        <w:rPr>
          <w:rFonts w:ascii="Trebuchet MS" w:hAnsi="Trebuchet MS" w:cs="Times New Roman"/>
          <w:b w:val="0"/>
          <w:bCs w:val="0"/>
          <w:color w:val="auto"/>
          <w:sz w:val="22"/>
        </w:rPr>
      </w:pPr>
    </w:p>
    <w:p w:rsidR="006A59B0" w:rsidRDefault="006A59B0" w:rsidP="0098238C">
      <w:pPr>
        <w:pStyle w:val="Textoindependiente"/>
        <w:rPr>
          <w:rFonts w:ascii="Trebuchet MS" w:hAnsi="Trebuchet MS" w:cs="Times New Roman"/>
          <w:b w:val="0"/>
          <w:bCs w:val="0"/>
          <w:color w:val="auto"/>
          <w:sz w:val="22"/>
        </w:rPr>
      </w:pPr>
    </w:p>
    <w:p w:rsidR="00316829" w:rsidRDefault="00316829" w:rsidP="0098238C">
      <w:pPr>
        <w:pStyle w:val="Textoindependiente"/>
        <w:rPr>
          <w:rFonts w:ascii="Trebuchet MS" w:hAnsi="Trebuchet MS" w:cs="Times New Roman"/>
          <w:b w:val="0"/>
          <w:bCs w:val="0"/>
          <w:color w:val="auto"/>
          <w:sz w:val="22"/>
        </w:rPr>
      </w:pPr>
    </w:p>
    <w:p w:rsidR="00316829" w:rsidRDefault="00316829" w:rsidP="0098238C">
      <w:pPr>
        <w:pStyle w:val="Textoindependiente"/>
        <w:rPr>
          <w:rFonts w:ascii="Trebuchet MS" w:hAnsi="Trebuchet MS" w:cs="Times New Roman"/>
          <w:b w:val="0"/>
          <w:bCs w:val="0"/>
          <w:color w:val="auto"/>
          <w:sz w:val="22"/>
        </w:rPr>
      </w:pPr>
    </w:p>
    <w:p w:rsidR="00F91ED4" w:rsidRDefault="00F91ED4" w:rsidP="0098238C">
      <w:pPr>
        <w:pStyle w:val="Textoindependiente"/>
        <w:rPr>
          <w:rFonts w:ascii="Trebuchet MS" w:hAnsi="Trebuchet MS" w:cs="Times New Roman"/>
          <w:b w:val="0"/>
          <w:bCs w:val="0"/>
          <w:color w:val="auto"/>
          <w:sz w:val="22"/>
        </w:rPr>
      </w:pPr>
    </w:p>
    <w:p w:rsidR="00CC70CB" w:rsidRDefault="006E6E88" w:rsidP="0098238C">
      <w:pPr>
        <w:pStyle w:val="Textoindependiente"/>
        <w:rPr>
          <w:rFonts w:ascii="Cambria" w:hAnsi="Cambria" w:cs="Times New Roman"/>
          <w:bCs w:val="0"/>
          <w:color w:val="auto"/>
          <w:sz w:val="20"/>
          <w:lang w:val="es-AR"/>
        </w:rPr>
      </w:pPr>
      <w:r w:rsidRPr="00316829">
        <w:rPr>
          <w:rFonts w:ascii="Cambria" w:hAnsi="Cambria" w:cs="Times New Roman"/>
          <w:bCs w:val="0"/>
          <w:color w:val="auto"/>
          <w:sz w:val="20"/>
          <w:lang w:val="es-AR"/>
        </w:rPr>
        <w:t>Grafico</w:t>
      </w:r>
      <w:r w:rsidR="00F527C4" w:rsidRPr="00316829">
        <w:rPr>
          <w:rFonts w:ascii="Cambria" w:hAnsi="Cambria" w:cs="Times New Roman"/>
          <w:bCs w:val="0"/>
          <w:color w:val="auto"/>
          <w:sz w:val="20"/>
          <w:lang w:val="es-AR"/>
        </w:rPr>
        <w:t xml:space="preserve"> </w:t>
      </w:r>
      <w:r w:rsidRPr="00316829">
        <w:rPr>
          <w:rFonts w:ascii="Cambria" w:hAnsi="Cambria" w:cs="Times New Roman"/>
          <w:bCs w:val="0"/>
          <w:color w:val="auto"/>
          <w:sz w:val="20"/>
          <w:lang w:val="es-AR"/>
        </w:rPr>
        <w:t xml:space="preserve">1: </w:t>
      </w:r>
      <w:r w:rsidR="009D6477" w:rsidRPr="00316829">
        <w:rPr>
          <w:rFonts w:ascii="Cambria" w:hAnsi="Cambria" w:cs="Times New Roman"/>
          <w:bCs w:val="0"/>
          <w:color w:val="auto"/>
          <w:sz w:val="20"/>
          <w:lang w:val="es-AR"/>
        </w:rPr>
        <w:t>R</w:t>
      </w:r>
      <w:r w:rsidRPr="00316829">
        <w:rPr>
          <w:rFonts w:ascii="Cambria" w:hAnsi="Cambria" w:cs="Times New Roman"/>
          <w:bCs w:val="0"/>
          <w:color w:val="auto"/>
          <w:sz w:val="20"/>
          <w:lang w:val="es-AR"/>
        </w:rPr>
        <w:t>ecaudación de la contribución afectada</w:t>
      </w:r>
      <w:r w:rsidR="00E16440" w:rsidRPr="00316829">
        <w:rPr>
          <w:rFonts w:ascii="Cambria" w:hAnsi="Cambria" w:cs="Times New Roman"/>
          <w:bCs w:val="0"/>
          <w:color w:val="auto"/>
          <w:sz w:val="20"/>
          <w:lang w:val="es-AR"/>
        </w:rPr>
        <w:t xml:space="preserve"> </w:t>
      </w:r>
      <w:r w:rsidR="0041540D" w:rsidRPr="00316829">
        <w:rPr>
          <w:rFonts w:ascii="Cambria" w:hAnsi="Cambria" w:cs="Times New Roman"/>
          <w:bCs w:val="0"/>
          <w:color w:val="auto"/>
          <w:sz w:val="20"/>
          <w:lang w:val="es-AR"/>
        </w:rPr>
        <w:t xml:space="preserve">- </w:t>
      </w:r>
      <w:r w:rsidR="00AF0CF9" w:rsidRPr="00316829">
        <w:rPr>
          <w:rFonts w:ascii="Cambria" w:hAnsi="Cambria" w:cs="Times New Roman"/>
          <w:bCs w:val="0"/>
          <w:color w:val="auto"/>
          <w:sz w:val="20"/>
          <w:lang w:val="es-AR"/>
        </w:rPr>
        <w:t>enero</w:t>
      </w:r>
      <w:r w:rsidR="0041540D" w:rsidRPr="00316829">
        <w:rPr>
          <w:rFonts w:ascii="Cambria" w:hAnsi="Cambria" w:cs="Times New Roman"/>
          <w:bCs w:val="0"/>
          <w:color w:val="auto"/>
          <w:sz w:val="20"/>
          <w:lang w:val="es-AR"/>
        </w:rPr>
        <w:t xml:space="preserve"> de 2016 – </w:t>
      </w:r>
      <w:r w:rsidR="00AF0CF9">
        <w:rPr>
          <w:rFonts w:ascii="Cambria" w:hAnsi="Cambria" w:cs="Times New Roman"/>
          <w:bCs w:val="0"/>
          <w:color w:val="auto"/>
          <w:sz w:val="20"/>
          <w:lang w:val="es-AR"/>
        </w:rPr>
        <w:t>e</w:t>
      </w:r>
      <w:r w:rsidR="006262E1">
        <w:rPr>
          <w:rFonts w:ascii="Cambria" w:hAnsi="Cambria" w:cs="Times New Roman"/>
          <w:bCs w:val="0"/>
          <w:color w:val="auto"/>
          <w:sz w:val="20"/>
          <w:lang w:val="es-AR"/>
        </w:rPr>
        <w:t>nero 2019</w:t>
      </w:r>
      <w:r w:rsidR="0041540D" w:rsidRPr="00316829">
        <w:rPr>
          <w:rFonts w:ascii="Cambria" w:hAnsi="Cambria" w:cs="Times New Roman"/>
          <w:bCs w:val="0"/>
          <w:color w:val="auto"/>
          <w:sz w:val="20"/>
          <w:lang w:val="es-AR"/>
        </w:rPr>
        <w:t xml:space="preserve"> </w:t>
      </w:r>
    </w:p>
    <w:p w:rsidR="00765E7F" w:rsidRPr="00F91ED4" w:rsidRDefault="00E16440" w:rsidP="0098238C">
      <w:pPr>
        <w:pStyle w:val="Textoindependiente"/>
        <w:rPr>
          <w:rFonts w:ascii="Cambria" w:hAnsi="Cambria" w:cs="Times New Roman"/>
          <w:bCs w:val="0"/>
          <w:color w:val="auto"/>
          <w:sz w:val="22"/>
          <w:lang w:val="es-AR"/>
        </w:rPr>
      </w:pPr>
      <w:r w:rsidRPr="00F91ED4">
        <w:rPr>
          <w:rFonts w:ascii="Cambria" w:hAnsi="Cambria" w:cs="Times New Roman"/>
          <w:bCs w:val="0"/>
          <w:color w:val="auto"/>
          <w:sz w:val="22"/>
          <w:lang w:val="es-AR"/>
        </w:rPr>
        <w:t>(</w:t>
      </w:r>
      <w:r w:rsidR="009D6477" w:rsidRPr="00F91ED4">
        <w:rPr>
          <w:rFonts w:ascii="Cambria" w:hAnsi="Cambria" w:cs="Times New Roman"/>
          <w:bCs w:val="0"/>
          <w:color w:val="auto"/>
          <w:sz w:val="22"/>
          <w:lang w:val="es-AR"/>
        </w:rPr>
        <w:t>Millones de</w:t>
      </w:r>
      <w:r w:rsidRPr="00F91ED4">
        <w:rPr>
          <w:rFonts w:ascii="Cambria" w:hAnsi="Cambria" w:cs="Times New Roman"/>
          <w:bCs w:val="0"/>
          <w:color w:val="auto"/>
          <w:sz w:val="22"/>
          <w:lang w:val="es-AR"/>
        </w:rPr>
        <w:t xml:space="preserve"> pesos corrientes)</w:t>
      </w:r>
      <w:r w:rsidR="00034BCE" w:rsidRPr="00F91ED4">
        <w:rPr>
          <w:rFonts w:ascii="Cambria" w:hAnsi="Cambria" w:cs="Times New Roman"/>
          <w:bCs w:val="0"/>
          <w:color w:val="auto"/>
          <w:sz w:val="22"/>
          <w:lang w:val="es-AR"/>
        </w:rPr>
        <w:t xml:space="preserve"> </w:t>
      </w:r>
    </w:p>
    <w:p w:rsidR="00153EBF" w:rsidRDefault="00153EBF" w:rsidP="00C53C4F">
      <w:pPr>
        <w:jc w:val="both"/>
        <w:rPr>
          <w:rFonts w:ascii="Cambria" w:hAnsi="Cambria"/>
          <w:szCs w:val="22"/>
        </w:rPr>
      </w:pPr>
    </w:p>
    <w:p w:rsidR="009D6477" w:rsidRDefault="0041540D" w:rsidP="00C53C4F">
      <w:pPr>
        <w:jc w:val="both"/>
        <w:rPr>
          <w:rFonts w:ascii="Cambria" w:hAnsi="Cambria"/>
          <w:szCs w:val="22"/>
        </w:rPr>
      </w:pPr>
      <w:r>
        <w:rPr>
          <w:noProof/>
          <w:lang w:val="es-ES"/>
        </w:rPr>
        <w:drawing>
          <wp:inline distT="0" distB="0" distL="0" distR="0">
            <wp:extent cx="6134100" cy="2491740"/>
            <wp:effectExtent l="0" t="0" r="0" b="38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6477" w:rsidRDefault="009D6477" w:rsidP="0098238C">
      <w:pPr>
        <w:pStyle w:val="Textoindependiente"/>
        <w:rPr>
          <w:rFonts w:ascii="Cambria" w:hAnsi="Cambria" w:cs="Times New Roman"/>
          <w:b w:val="0"/>
          <w:bCs w:val="0"/>
          <w:color w:val="auto"/>
          <w:sz w:val="22"/>
          <w:lang w:val="es-AR"/>
        </w:rPr>
      </w:pPr>
    </w:p>
    <w:p w:rsidR="004F2317" w:rsidRPr="00BF58DA"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Entre otros aspectos, se destaca el nivel alcanzado de la misma</w:t>
      </w:r>
      <w:r w:rsidR="00BF3D5C" w:rsidRPr="00BF58DA">
        <w:rPr>
          <w:rFonts w:ascii="Cambria" w:hAnsi="Cambria" w:cs="Times New Roman"/>
          <w:b w:val="0"/>
          <w:bCs w:val="0"/>
          <w:color w:val="auto"/>
          <w:sz w:val="22"/>
          <w:lang w:val="es-AR"/>
        </w:rPr>
        <w:t xml:space="preserve">, que </w:t>
      </w:r>
      <w:r w:rsidR="00F61C3F" w:rsidRPr="00BF58DA">
        <w:rPr>
          <w:rFonts w:ascii="Cambria" w:hAnsi="Cambria" w:cs="Times New Roman"/>
          <w:b w:val="0"/>
          <w:bCs w:val="0"/>
          <w:color w:val="auto"/>
          <w:sz w:val="22"/>
          <w:lang w:val="es-AR"/>
        </w:rPr>
        <w:t>se ubica entorno a</w:t>
      </w:r>
      <w:r w:rsidR="00936C16" w:rsidRPr="00BF58DA">
        <w:rPr>
          <w:rFonts w:ascii="Cambria" w:hAnsi="Cambria" w:cs="Times New Roman"/>
          <w:b w:val="0"/>
          <w:bCs w:val="0"/>
          <w:color w:val="auto"/>
          <w:sz w:val="22"/>
          <w:lang w:val="es-AR"/>
        </w:rPr>
        <w:t xml:space="preserve"> los </w:t>
      </w:r>
      <w:r w:rsidR="00BF3D5C" w:rsidRPr="00BF58DA">
        <w:rPr>
          <w:rFonts w:ascii="Cambria" w:hAnsi="Cambria" w:cs="Times New Roman"/>
          <w:b w:val="0"/>
          <w:bCs w:val="0"/>
          <w:color w:val="auto"/>
          <w:sz w:val="22"/>
          <w:lang w:val="es-AR"/>
        </w:rPr>
        <w:t>$</w:t>
      </w:r>
      <w:r w:rsidR="0041540D">
        <w:rPr>
          <w:rFonts w:ascii="Cambria" w:hAnsi="Cambria" w:cs="Times New Roman"/>
          <w:b w:val="0"/>
          <w:bCs w:val="0"/>
          <w:color w:val="auto"/>
          <w:sz w:val="22"/>
          <w:lang w:val="es-AR"/>
        </w:rPr>
        <w:t>5</w:t>
      </w:r>
      <w:r w:rsidR="006262E1">
        <w:rPr>
          <w:rFonts w:ascii="Cambria" w:hAnsi="Cambria" w:cs="Times New Roman"/>
          <w:b w:val="0"/>
          <w:bCs w:val="0"/>
          <w:color w:val="auto"/>
          <w:sz w:val="22"/>
          <w:lang w:val="es-AR"/>
        </w:rPr>
        <w:t>97</w:t>
      </w:r>
      <w:r w:rsidR="00BF3D5C" w:rsidRPr="00BF58DA">
        <w:rPr>
          <w:rFonts w:ascii="Cambria" w:hAnsi="Cambria" w:cs="Times New Roman"/>
          <w:b w:val="0"/>
          <w:bCs w:val="0"/>
          <w:color w:val="auto"/>
          <w:sz w:val="22"/>
          <w:lang w:val="es-AR"/>
        </w:rPr>
        <w:t xml:space="preserve"> millones mensuales </w:t>
      </w:r>
      <w:r w:rsidR="0041540D">
        <w:rPr>
          <w:rFonts w:ascii="Cambria" w:hAnsi="Cambria" w:cs="Times New Roman"/>
          <w:b w:val="0"/>
          <w:bCs w:val="0"/>
          <w:color w:val="auto"/>
          <w:sz w:val="22"/>
          <w:lang w:val="es-AR"/>
        </w:rPr>
        <w:t>(</w:t>
      </w:r>
      <w:r w:rsidR="004C001A" w:rsidRPr="00BF58DA">
        <w:rPr>
          <w:rFonts w:ascii="Cambria" w:hAnsi="Cambria" w:cs="Times New Roman"/>
          <w:b w:val="0"/>
          <w:bCs w:val="0"/>
          <w:color w:val="auto"/>
          <w:sz w:val="22"/>
          <w:lang w:val="es-AR"/>
        </w:rPr>
        <w:t>promedio</w:t>
      </w:r>
      <w:r w:rsidR="00B63707">
        <w:rPr>
          <w:rFonts w:ascii="Cambria" w:hAnsi="Cambria" w:cs="Times New Roman"/>
          <w:b w:val="0"/>
          <w:bCs w:val="0"/>
          <w:color w:val="auto"/>
          <w:sz w:val="22"/>
          <w:lang w:val="es-AR"/>
        </w:rPr>
        <w:t xml:space="preserve"> </w:t>
      </w:r>
      <w:r w:rsidR="004C001A" w:rsidRPr="00BF58DA">
        <w:rPr>
          <w:rFonts w:ascii="Cambria" w:hAnsi="Cambria" w:cs="Times New Roman"/>
          <w:b w:val="0"/>
          <w:bCs w:val="0"/>
          <w:color w:val="auto"/>
          <w:sz w:val="22"/>
          <w:lang w:val="es-AR"/>
        </w:rPr>
        <w:t>último</w:t>
      </w:r>
      <w:r w:rsidR="004C001A">
        <w:rPr>
          <w:rFonts w:ascii="Cambria" w:hAnsi="Cambria" w:cs="Times New Roman"/>
          <w:b w:val="0"/>
          <w:bCs w:val="0"/>
          <w:color w:val="auto"/>
          <w:sz w:val="22"/>
          <w:lang w:val="es-AR"/>
        </w:rPr>
        <w:t>s</w:t>
      </w:r>
      <w:r w:rsidR="00B63707">
        <w:rPr>
          <w:rFonts w:ascii="Cambria" w:hAnsi="Cambria" w:cs="Times New Roman"/>
          <w:b w:val="0"/>
          <w:bCs w:val="0"/>
          <w:color w:val="auto"/>
          <w:sz w:val="22"/>
          <w:lang w:val="es-AR"/>
        </w:rPr>
        <w:t xml:space="preserve"> </w:t>
      </w:r>
      <w:r w:rsidR="00BD2413" w:rsidRPr="00BF58DA">
        <w:rPr>
          <w:rFonts w:ascii="Cambria" w:hAnsi="Cambria" w:cs="Times New Roman"/>
          <w:b w:val="0"/>
          <w:bCs w:val="0"/>
          <w:color w:val="auto"/>
          <w:sz w:val="22"/>
          <w:lang w:val="es-AR"/>
        </w:rPr>
        <w:t>tres meses</w:t>
      </w:r>
      <w:r w:rsidR="00257514" w:rsidRPr="00BF58DA">
        <w:rPr>
          <w:rFonts w:ascii="Cambria" w:hAnsi="Cambria" w:cs="Times New Roman"/>
          <w:b w:val="0"/>
          <w:bCs w:val="0"/>
          <w:color w:val="auto"/>
          <w:sz w:val="22"/>
          <w:lang w:val="es-AR"/>
        </w:rPr>
        <w:t>)</w:t>
      </w:r>
      <w:r w:rsidR="00936C16" w:rsidRPr="00BF58DA">
        <w:rPr>
          <w:rFonts w:ascii="Cambria" w:hAnsi="Cambria" w:cs="Times New Roman"/>
          <w:b w:val="0"/>
          <w:bCs w:val="0"/>
          <w:color w:val="auto"/>
          <w:sz w:val="22"/>
          <w:lang w:val="es-AR"/>
        </w:rPr>
        <w:t>. Asimismo</w:t>
      </w:r>
      <w:r w:rsidR="00205BD4" w:rsidRPr="00BF58DA">
        <w:rPr>
          <w:rFonts w:ascii="Cambria" w:hAnsi="Cambria" w:cs="Times New Roman"/>
          <w:b w:val="0"/>
          <w:bCs w:val="0"/>
          <w:color w:val="auto"/>
          <w:sz w:val="22"/>
          <w:lang w:val="es-AR"/>
        </w:rPr>
        <w:t xml:space="preserve">, </w:t>
      </w:r>
      <w:r w:rsidRPr="00BF58DA">
        <w:rPr>
          <w:rFonts w:ascii="Cambria" w:hAnsi="Cambria" w:cs="Times New Roman"/>
          <w:b w:val="0"/>
          <w:bCs w:val="0"/>
          <w:color w:val="auto"/>
          <w:sz w:val="22"/>
          <w:lang w:val="es-AR"/>
        </w:rPr>
        <w:t>la tasa de crecimiento interanual</w:t>
      </w:r>
      <w:r w:rsidR="006262E1">
        <w:rPr>
          <w:rFonts w:ascii="Cambria" w:hAnsi="Cambria" w:cs="Times New Roman"/>
          <w:b w:val="0"/>
          <w:bCs w:val="0"/>
          <w:color w:val="auto"/>
          <w:sz w:val="22"/>
          <w:lang w:val="es-AR"/>
        </w:rPr>
        <w:t xml:space="preserve"> (</w:t>
      </w:r>
      <w:r w:rsidR="006262E1" w:rsidRPr="00BF58DA">
        <w:rPr>
          <w:rFonts w:ascii="Cambria" w:hAnsi="Cambria" w:cs="Times New Roman"/>
          <w:b w:val="0"/>
          <w:bCs w:val="0"/>
          <w:color w:val="auto"/>
          <w:sz w:val="22"/>
          <w:lang w:val="es-AR"/>
        </w:rPr>
        <w:t>promedio</w:t>
      </w:r>
      <w:r w:rsidR="006262E1">
        <w:rPr>
          <w:rFonts w:ascii="Cambria" w:hAnsi="Cambria" w:cs="Times New Roman"/>
          <w:b w:val="0"/>
          <w:bCs w:val="0"/>
          <w:color w:val="auto"/>
          <w:sz w:val="22"/>
          <w:lang w:val="es-AR"/>
        </w:rPr>
        <w:t xml:space="preserve"> </w:t>
      </w:r>
      <w:r w:rsidR="006262E1" w:rsidRPr="00BF58DA">
        <w:rPr>
          <w:rFonts w:ascii="Cambria" w:hAnsi="Cambria" w:cs="Times New Roman"/>
          <w:b w:val="0"/>
          <w:bCs w:val="0"/>
          <w:color w:val="auto"/>
          <w:sz w:val="22"/>
          <w:lang w:val="es-AR"/>
        </w:rPr>
        <w:t>último</w:t>
      </w:r>
      <w:r w:rsidR="006262E1">
        <w:rPr>
          <w:rFonts w:ascii="Cambria" w:hAnsi="Cambria" w:cs="Times New Roman"/>
          <w:b w:val="0"/>
          <w:bCs w:val="0"/>
          <w:color w:val="auto"/>
          <w:sz w:val="22"/>
          <w:lang w:val="es-AR"/>
        </w:rPr>
        <w:t xml:space="preserve">s </w:t>
      </w:r>
      <w:r w:rsidR="006262E1" w:rsidRPr="00BF58DA">
        <w:rPr>
          <w:rFonts w:ascii="Cambria" w:hAnsi="Cambria" w:cs="Times New Roman"/>
          <w:b w:val="0"/>
          <w:bCs w:val="0"/>
          <w:color w:val="auto"/>
          <w:sz w:val="22"/>
          <w:lang w:val="es-AR"/>
        </w:rPr>
        <w:t>tres meses)</w:t>
      </w:r>
      <w:r w:rsidRPr="00BF58DA">
        <w:rPr>
          <w:rFonts w:ascii="Cambria" w:hAnsi="Cambria" w:cs="Times New Roman"/>
          <w:b w:val="0"/>
          <w:bCs w:val="0"/>
          <w:color w:val="auto"/>
          <w:sz w:val="22"/>
          <w:lang w:val="es-AR"/>
        </w:rPr>
        <w:t xml:space="preserve"> </w:t>
      </w:r>
      <w:r w:rsidR="009D6477">
        <w:rPr>
          <w:rFonts w:ascii="Cambria" w:hAnsi="Cambria" w:cs="Times New Roman"/>
          <w:b w:val="0"/>
          <w:bCs w:val="0"/>
          <w:color w:val="auto"/>
          <w:sz w:val="22"/>
          <w:lang w:val="es-AR"/>
        </w:rPr>
        <w:t xml:space="preserve">es </w:t>
      </w:r>
      <w:r w:rsidRPr="00BF58DA">
        <w:rPr>
          <w:rFonts w:ascii="Cambria" w:hAnsi="Cambria" w:cs="Times New Roman"/>
          <w:b w:val="0"/>
          <w:bCs w:val="0"/>
          <w:color w:val="auto"/>
          <w:sz w:val="22"/>
          <w:lang w:val="es-AR"/>
        </w:rPr>
        <w:t xml:space="preserve">del </w:t>
      </w:r>
      <w:r w:rsidR="00F527C4">
        <w:rPr>
          <w:rFonts w:ascii="Cambria" w:hAnsi="Cambria" w:cs="Times New Roman"/>
          <w:b w:val="0"/>
          <w:bCs w:val="0"/>
          <w:color w:val="auto"/>
          <w:sz w:val="22"/>
          <w:lang w:val="es-AR"/>
        </w:rPr>
        <w:t>3</w:t>
      </w:r>
      <w:r w:rsidR="0041540D">
        <w:rPr>
          <w:rFonts w:ascii="Cambria" w:hAnsi="Cambria" w:cs="Times New Roman"/>
          <w:b w:val="0"/>
          <w:bCs w:val="0"/>
          <w:color w:val="auto"/>
          <w:sz w:val="22"/>
          <w:lang w:val="es-AR"/>
        </w:rPr>
        <w:t>5</w:t>
      </w:r>
      <w:r w:rsidR="009D6477">
        <w:rPr>
          <w:rFonts w:ascii="Cambria" w:hAnsi="Cambria" w:cs="Times New Roman"/>
          <w:b w:val="0"/>
          <w:bCs w:val="0"/>
          <w:color w:val="auto"/>
          <w:sz w:val="22"/>
          <w:lang w:val="es-AR"/>
        </w:rPr>
        <w:t>%</w:t>
      </w:r>
      <w:r w:rsidRPr="00BF58DA">
        <w:rPr>
          <w:rFonts w:ascii="Cambria" w:hAnsi="Cambria" w:cs="Times New Roman"/>
          <w:b w:val="0"/>
          <w:bCs w:val="0"/>
          <w:color w:val="auto"/>
          <w:sz w:val="22"/>
          <w:lang w:val="es-AR"/>
        </w:rPr>
        <w:t>.</w:t>
      </w:r>
    </w:p>
    <w:p w:rsidR="00E5474D" w:rsidRPr="00BF58DA"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 xml:space="preserve">Por otro lado, la tasa de cumplimiento </w:t>
      </w:r>
      <w:r w:rsidR="00F91ED4">
        <w:rPr>
          <w:rFonts w:ascii="Cambria" w:hAnsi="Cambria" w:cs="Times New Roman"/>
          <w:b w:val="0"/>
          <w:bCs w:val="0"/>
          <w:color w:val="auto"/>
          <w:sz w:val="22"/>
          <w:lang w:val="es-AR"/>
        </w:rPr>
        <w:t xml:space="preserve">mensual </w:t>
      </w:r>
      <w:r w:rsidRPr="00F91ED4">
        <w:rPr>
          <w:rFonts w:ascii="Cambria" w:hAnsi="Cambria" w:cs="Times New Roman"/>
          <w:b w:val="0"/>
          <w:bCs w:val="0"/>
          <w:color w:val="auto"/>
          <w:sz w:val="22"/>
          <w:lang w:val="es-AR"/>
        </w:rPr>
        <w:t xml:space="preserve">promedio alcanzó el </w:t>
      </w:r>
      <w:r w:rsidR="00BD2413" w:rsidRPr="00F91ED4">
        <w:rPr>
          <w:rFonts w:ascii="Cambria" w:hAnsi="Cambria" w:cs="Times New Roman"/>
          <w:b w:val="0"/>
          <w:bCs w:val="0"/>
          <w:color w:val="auto"/>
          <w:sz w:val="22"/>
          <w:lang w:val="es-AR"/>
        </w:rPr>
        <w:t>9</w:t>
      </w:r>
      <w:r w:rsidR="009D6477" w:rsidRPr="00F91ED4">
        <w:rPr>
          <w:rFonts w:ascii="Cambria" w:hAnsi="Cambria" w:cs="Times New Roman"/>
          <w:b w:val="0"/>
          <w:bCs w:val="0"/>
          <w:color w:val="auto"/>
          <w:sz w:val="22"/>
          <w:lang w:val="es-AR"/>
        </w:rPr>
        <w:t>6</w:t>
      </w:r>
      <w:r w:rsidRPr="00F91ED4">
        <w:rPr>
          <w:rFonts w:ascii="Cambria" w:hAnsi="Cambria" w:cs="Times New Roman"/>
          <w:b w:val="0"/>
          <w:bCs w:val="0"/>
          <w:color w:val="auto"/>
          <w:sz w:val="22"/>
          <w:lang w:val="es-AR"/>
        </w:rPr>
        <w:t>%</w:t>
      </w:r>
      <w:r w:rsidR="0049774B" w:rsidRPr="00F91ED4">
        <w:rPr>
          <w:rFonts w:ascii="Cambria" w:hAnsi="Cambria" w:cs="Times New Roman"/>
          <w:b w:val="0"/>
          <w:bCs w:val="0"/>
          <w:color w:val="auto"/>
          <w:sz w:val="22"/>
          <w:lang w:val="es-AR"/>
        </w:rPr>
        <w:t xml:space="preserve"> </w:t>
      </w:r>
      <w:r w:rsidR="00F91ED4" w:rsidRPr="00F91ED4">
        <w:rPr>
          <w:rFonts w:ascii="Cambria" w:hAnsi="Cambria" w:cs="Times New Roman"/>
          <w:b w:val="0"/>
          <w:bCs w:val="0"/>
          <w:color w:val="auto"/>
          <w:sz w:val="22"/>
          <w:lang w:val="es-AR"/>
        </w:rPr>
        <w:t>durante</w:t>
      </w:r>
      <w:r w:rsidR="00F91ED4">
        <w:rPr>
          <w:rFonts w:ascii="Cambria" w:hAnsi="Cambria" w:cs="Times New Roman"/>
          <w:b w:val="0"/>
          <w:bCs w:val="0"/>
          <w:color w:val="auto"/>
          <w:sz w:val="22"/>
          <w:lang w:val="es-AR"/>
        </w:rPr>
        <w:t xml:space="preserve"> el ejercicio 2018. </w:t>
      </w:r>
      <w:r w:rsidRPr="00BF58DA">
        <w:rPr>
          <w:rFonts w:ascii="Cambria" w:hAnsi="Cambria" w:cs="Times New Roman"/>
          <w:b w:val="0"/>
          <w:bCs w:val="0"/>
          <w:color w:val="auto"/>
          <w:sz w:val="22"/>
          <w:lang w:val="es-AR"/>
        </w:rPr>
        <w:t xml:space="preserve">En este </w:t>
      </w:r>
      <w:r w:rsidR="004F2317" w:rsidRPr="00BF58DA">
        <w:rPr>
          <w:rFonts w:ascii="Cambria" w:hAnsi="Cambria" w:cs="Times New Roman"/>
          <w:b w:val="0"/>
          <w:bCs w:val="0"/>
          <w:color w:val="auto"/>
          <w:sz w:val="22"/>
          <w:lang w:val="es-AR"/>
        </w:rPr>
        <w:t>sentido</w:t>
      </w:r>
      <w:r w:rsidRPr="00BF58DA">
        <w:rPr>
          <w:rFonts w:ascii="Cambria" w:hAnsi="Cambria" w:cs="Times New Roman"/>
          <w:b w:val="0"/>
          <w:bCs w:val="0"/>
          <w:color w:val="auto"/>
          <w:sz w:val="22"/>
          <w:lang w:val="es-AR"/>
        </w:rPr>
        <w:t xml:space="preserve">, es importante destacar que, al ser grandes contribuyentes, las posibilidades de control y seguimiento por parte del Municipio aumentan notablemente respecto al resto de los contribuyentes alcanzados por esta tasa. </w:t>
      </w:r>
    </w:p>
    <w:tbl>
      <w:tblPr>
        <w:tblW w:w="9137" w:type="dxa"/>
        <w:tblInd w:w="70" w:type="dxa"/>
        <w:tblLayout w:type="fixed"/>
        <w:tblCellMar>
          <w:left w:w="70" w:type="dxa"/>
          <w:right w:w="70" w:type="dxa"/>
        </w:tblCellMar>
        <w:tblLook w:val="04A0"/>
      </w:tblPr>
      <w:tblGrid>
        <w:gridCol w:w="2057"/>
        <w:gridCol w:w="1559"/>
        <w:gridCol w:w="1474"/>
        <w:gridCol w:w="1350"/>
        <w:gridCol w:w="1437"/>
        <w:gridCol w:w="1260"/>
      </w:tblGrid>
      <w:tr w:rsidR="00053740" w:rsidRPr="00F91ED4" w:rsidTr="002D06F2">
        <w:trPr>
          <w:trHeight w:val="464"/>
        </w:trPr>
        <w:tc>
          <w:tcPr>
            <w:tcW w:w="9137" w:type="dxa"/>
            <w:gridSpan w:val="6"/>
            <w:tcBorders>
              <w:top w:val="nil"/>
              <w:left w:val="nil"/>
              <w:bottom w:val="nil"/>
              <w:right w:val="nil"/>
            </w:tcBorders>
            <w:shd w:val="clear" w:color="auto" w:fill="auto"/>
            <w:noWrap/>
            <w:vAlign w:val="center"/>
            <w:hideMark/>
          </w:tcPr>
          <w:p w:rsidR="004C001A" w:rsidRPr="00F91ED4" w:rsidRDefault="004C001A" w:rsidP="00F91ED4">
            <w:pPr>
              <w:pStyle w:val="Ttulo2"/>
              <w:rPr>
                <w:rFonts w:ascii="Cambria" w:hAnsi="Cambria"/>
                <w:b/>
                <w:color w:val="auto"/>
                <w:szCs w:val="28"/>
              </w:rPr>
            </w:pPr>
          </w:p>
          <w:p w:rsidR="00053740" w:rsidRPr="00F91ED4" w:rsidRDefault="00053740" w:rsidP="00F91ED4">
            <w:pPr>
              <w:pStyle w:val="Ttulo2"/>
              <w:rPr>
                <w:rFonts w:ascii="Cambria" w:hAnsi="Cambria"/>
                <w:b/>
                <w:color w:val="auto"/>
                <w:szCs w:val="28"/>
              </w:rPr>
            </w:pPr>
            <w:r w:rsidRPr="00F91ED4">
              <w:rPr>
                <w:rFonts w:ascii="Cambria" w:hAnsi="Cambria"/>
                <w:b/>
                <w:color w:val="auto"/>
                <w:szCs w:val="28"/>
              </w:rPr>
              <w:t>DEUDA FINANCIERA MUNICIPAL</w:t>
            </w:r>
          </w:p>
        </w:tc>
      </w:tr>
      <w:tr w:rsidR="00053740" w:rsidRPr="00053740" w:rsidTr="00C84DCF">
        <w:trPr>
          <w:trHeight w:val="246"/>
        </w:trPr>
        <w:tc>
          <w:tcPr>
            <w:tcW w:w="2057" w:type="dxa"/>
            <w:tcBorders>
              <w:top w:val="nil"/>
              <w:left w:val="nil"/>
              <w:bottom w:val="nil"/>
              <w:right w:val="nil"/>
            </w:tcBorders>
            <w:shd w:val="clear" w:color="auto" w:fill="auto"/>
            <w:noWrap/>
            <w:vAlign w:val="bottom"/>
            <w:hideMark/>
          </w:tcPr>
          <w:p w:rsidR="00053740" w:rsidRPr="00053740" w:rsidRDefault="00053740" w:rsidP="00053740">
            <w:pPr>
              <w:jc w:val="center"/>
              <w:rPr>
                <w:rFonts w:ascii="Arial Narrow" w:hAnsi="Arial Narrow" w:cs="Calibri"/>
                <w:b/>
                <w:bCs/>
                <w:color w:val="000000"/>
                <w:sz w:val="32"/>
                <w:szCs w:val="32"/>
                <w:lang w:eastAsia="es-AR"/>
              </w:rPr>
            </w:pPr>
          </w:p>
        </w:tc>
        <w:tc>
          <w:tcPr>
            <w:tcW w:w="1559"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474"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350"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437"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260"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r>
      <w:tr w:rsidR="00053740" w:rsidRPr="003047B4" w:rsidTr="002D06F2">
        <w:trPr>
          <w:trHeight w:val="638"/>
        </w:trPr>
        <w:tc>
          <w:tcPr>
            <w:tcW w:w="9137" w:type="dxa"/>
            <w:gridSpan w:val="6"/>
            <w:tcBorders>
              <w:top w:val="nil"/>
              <w:left w:val="nil"/>
              <w:bottom w:val="single" w:sz="4" w:space="0" w:color="auto"/>
              <w:right w:val="nil"/>
            </w:tcBorders>
            <w:shd w:val="clear" w:color="auto" w:fill="auto"/>
            <w:noWrap/>
            <w:vAlign w:val="center"/>
            <w:hideMark/>
          </w:tcPr>
          <w:p w:rsidR="00053740" w:rsidRPr="003047B4" w:rsidRDefault="00053740" w:rsidP="003047B4">
            <w:pPr>
              <w:pStyle w:val="Textoindependiente"/>
              <w:jc w:val="left"/>
              <w:rPr>
                <w:rFonts w:ascii="Cambria" w:hAnsi="Cambria" w:cs="Times New Roman"/>
                <w:bCs w:val="0"/>
                <w:color w:val="auto"/>
                <w:sz w:val="24"/>
                <w:lang w:val="es-AR"/>
              </w:rPr>
            </w:pPr>
            <w:r w:rsidRPr="003047B4">
              <w:rPr>
                <w:rFonts w:ascii="Cambria" w:hAnsi="Cambria" w:cs="Times New Roman"/>
                <w:bCs w:val="0"/>
                <w:color w:val="auto"/>
                <w:sz w:val="24"/>
                <w:lang w:val="es-AR"/>
              </w:rPr>
              <w:t>Programa de Letras del Tesoro</w:t>
            </w:r>
          </w:p>
        </w:tc>
      </w:tr>
      <w:tr w:rsidR="00053740" w:rsidRPr="00053740" w:rsidTr="00F91ED4">
        <w:trPr>
          <w:trHeight w:val="794"/>
        </w:trPr>
        <w:tc>
          <w:tcPr>
            <w:tcW w:w="2057" w:type="dxa"/>
            <w:tcBorders>
              <w:top w:val="nil"/>
              <w:left w:val="single" w:sz="4" w:space="0" w:color="auto"/>
              <w:bottom w:val="single" w:sz="4" w:space="0" w:color="auto"/>
              <w:right w:val="single" w:sz="4" w:space="0" w:color="808080"/>
            </w:tcBorders>
            <w:shd w:val="clear" w:color="auto" w:fill="auto"/>
            <w:vAlign w:val="center"/>
            <w:hideMark/>
          </w:tcPr>
          <w:p w:rsidR="00053740" w:rsidRPr="00F91ED4" w:rsidRDefault="00053740" w:rsidP="00053740">
            <w:pPr>
              <w:jc w:val="center"/>
              <w:rPr>
                <w:rFonts w:asciiTheme="majorHAnsi" w:hAnsiTheme="majorHAnsi" w:cs="Arial"/>
                <w:b/>
                <w:bCs/>
                <w:color w:val="000000"/>
                <w:szCs w:val="22"/>
                <w:lang w:eastAsia="es-AR"/>
              </w:rPr>
            </w:pPr>
            <w:r w:rsidRPr="00F91ED4">
              <w:rPr>
                <w:rFonts w:asciiTheme="majorHAnsi" w:hAnsiTheme="majorHAnsi" w:cs="Arial"/>
                <w:b/>
                <w:bCs/>
                <w:color w:val="000000"/>
                <w:szCs w:val="22"/>
                <w:lang w:eastAsia="es-AR"/>
              </w:rPr>
              <w:t>Nº</w:t>
            </w:r>
          </w:p>
        </w:tc>
        <w:tc>
          <w:tcPr>
            <w:tcW w:w="1559" w:type="dxa"/>
            <w:tcBorders>
              <w:top w:val="nil"/>
              <w:left w:val="nil"/>
              <w:bottom w:val="single" w:sz="4" w:space="0" w:color="auto"/>
              <w:right w:val="single" w:sz="4" w:space="0" w:color="808080"/>
            </w:tcBorders>
            <w:shd w:val="clear" w:color="auto" w:fill="auto"/>
            <w:vAlign w:val="center"/>
            <w:hideMark/>
          </w:tcPr>
          <w:p w:rsidR="00053740" w:rsidRPr="00F91ED4" w:rsidRDefault="00053740" w:rsidP="00053740">
            <w:pPr>
              <w:jc w:val="center"/>
              <w:rPr>
                <w:rFonts w:asciiTheme="majorHAnsi" w:hAnsiTheme="majorHAnsi" w:cs="Arial"/>
                <w:b/>
                <w:bCs/>
                <w:color w:val="000000"/>
                <w:szCs w:val="22"/>
                <w:lang w:eastAsia="es-AR"/>
              </w:rPr>
            </w:pPr>
            <w:r w:rsidRPr="00F91ED4">
              <w:rPr>
                <w:rFonts w:asciiTheme="majorHAnsi" w:hAnsiTheme="majorHAnsi" w:cs="Arial"/>
                <w:b/>
                <w:bCs/>
                <w:color w:val="000000"/>
                <w:szCs w:val="22"/>
                <w:lang w:eastAsia="es-AR"/>
              </w:rPr>
              <w:t xml:space="preserve">Monto </w:t>
            </w:r>
            <w:r w:rsidRPr="00F91ED4">
              <w:rPr>
                <w:rFonts w:asciiTheme="majorHAnsi" w:hAnsiTheme="majorHAnsi" w:cs="Arial"/>
                <w:b/>
                <w:bCs/>
                <w:color w:val="000000"/>
                <w:szCs w:val="22"/>
                <w:lang w:eastAsia="es-AR"/>
              </w:rPr>
              <w:br/>
              <w:t>(ARS)</w:t>
            </w:r>
          </w:p>
        </w:tc>
        <w:tc>
          <w:tcPr>
            <w:tcW w:w="1474" w:type="dxa"/>
            <w:tcBorders>
              <w:top w:val="nil"/>
              <w:left w:val="nil"/>
              <w:bottom w:val="single" w:sz="4" w:space="0" w:color="auto"/>
              <w:right w:val="single" w:sz="4" w:space="0" w:color="808080"/>
            </w:tcBorders>
            <w:shd w:val="clear" w:color="auto" w:fill="auto"/>
            <w:vAlign w:val="center"/>
            <w:hideMark/>
          </w:tcPr>
          <w:p w:rsidR="00053740" w:rsidRPr="00F91ED4" w:rsidRDefault="00053740" w:rsidP="00053740">
            <w:pPr>
              <w:jc w:val="center"/>
              <w:rPr>
                <w:rFonts w:asciiTheme="majorHAnsi" w:hAnsiTheme="majorHAnsi" w:cs="Arial"/>
                <w:b/>
                <w:bCs/>
                <w:color w:val="000000"/>
                <w:szCs w:val="22"/>
                <w:lang w:eastAsia="es-AR"/>
              </w:rPr>
            </w:pPr>
            <w:r w:rsidRPr="00F91ED4">
              <w:rPr>
                <w:rFonts w:asciiTheme="majorHAnsi" w:hAnsiTheme="majorHAnsi" w:cs="Arial"/>
                <w:b/>
                <w:bCs/>
                <w:color w:val="000000"/>
                <w:szCs w:val="22"/>
                <w:lang w:eastAsia="es-AR"/>
              </w:rPr>
              <w:t>Fecha de Integración</w:t>
            </w:r>
          </w:p>
        </w:tc>
        <w:tc>
          <w:tcPr>
            <w:tcW w:w="1350" w:type="dxa"/>
            <w:tcBorders>
              <w:top w:val="nil"/>
              <w:left w:val="nil"/>
              <w:bottom w:val="single" w:sz="4" w:space="0" w:color="auto"/>
              <w:right w:val="single" w:sz="4" w:space="0" w:color="auto"/>
            </w:tcBorders>
            <w:shd w:val="clear" w:color="auto" w:fill="auto"/>
            <w:vAlign w:val="center"/>
            <w:hideMark/>
          </w:tcPr>
          <w:p w:rsidR="00053740" w:rsidRPr="00F91ED4" w:rsidRDefault="00053740" w:rsidP="00053740">
            <w:pPr>
              <w:jc w:val="center"/>
              <w:rPr>
                <w:rFonts w:asciiTheme="majorHAnsi" w:hAnsiTheme="majorHAnsi" w:cs="Arial"/>
                <w:b/>
                <w:bCs/>
                <w:color w:val="000000"/>
                <w:szCs w:val="22"/>
                <w:lang w:eastAsia="es-AR"/>
              </w:rPr>
            </w:pPr>
            <w:r w:rsidRPr="00F91ED4">
              <w:rPr>
                <w:rFonts w:asciiTheme="majorHAnsi" w:hAnsiTheme="majorHAnsi" w:cs="Arial"/>
                <w:b/>
                <w:bCs/>
                <w:color w:val="000000"/>
                <w:szCs w:val="22"/>
                <w:lang w:eastAsia="es-AR"/>
              </w:rPr>
              <w:t>% Capital Amortizado</w:t>
            </w:r>
          </w:p>
        </w:tc>
        <w:tc>
          <w:tcPr>
            <w:tcW w:w="1437" w:type="dxa"/>
            <w:tcBorders>
              <w:top w:val="nil"/>
              <w:left w:val="single" w:sz="4" w:space="0" w:color="808080"/>
              <w:bottom w:val="single" w:sz="4" w:space="0" w:color="auto"/>
              <w:right w:val="single" w:sz="4" w:space="0" w:color="808080"/>
            </w:tcBorders>
            <w:shd w:val="clear" w:color="auto" w:fill="auto"/>
            <w:vAlign w:val="center"/>
            <w:hideMark/>
          </w:tcPr>
          <w:p w:rsidR="00053740" w:rsidRPr="00F91ED4" w:rsidRDefault="00053740" w:rsidP="00053740">
            <w:pPr>
              <w:jc w:val="center"/>
              <w:rPr>
                <w:rFonts w:asciiTheme="majorHAnsi" w:hAnsiTheme="majorHAnsi" w:cs="Arial"/>
                <w:b/>
                <w:bCs/>
                <w:color w:val="000000"/>
                <w:szCs w:val="22"/>
                <w:lang w:eastAsia="es-AR"/>
              </w:rPr>
            </w:pPr>
            <w:r w:rsidRPr="00F91ED4">
              <w:rPr>
                <w:rFonts w:asciiTheme="majorHAnsi" w:hAnsiTheme="majorHAnsi" w:cs="Arial"/>
                <w:b/>
                <w:bCs/>
                <w:color w:val="000000"/>
                <w:szCs w:val="22"/>
                <w:lang w:eastAsia="es-AR"/>
              </w:rPr>
              <w:t>Fecha de Cancelación</w:t>
            </w:r>
          </w:p>
        </w:tc>
        <w:tc>
          <w:tcPr>
            <w:tcW w:w="1260" w:type="dxa"/>
            <w:tcBorders>
              <w:top w:val="nil"/>
              <w:left w:val="nil"/>
              <w:bottom w:val="single" w:sz="4" w:space="0" w:color="auto"/>
              <w:right w:val="single" w:sz="4" w:space="0" w:color="auto"/>
            </w:tcBorders>
            <w:shd w:val="clear" w:color="auto" w:fill="auto"/>
            <w:vAlign w:val="center"/>
            <w:hideMark/>
          </w:tcPr>
          <w:p w:rsidR="00053740" w:rsidRPr="00F91ED4" w:rsidRDefault="00053740" w:rsidP="00053740">
            <w:pPr>
              <w:jc w:val="center"/>
              <w:rPr>
                <w:rFonts w:asciiTheme="majorHAnsi" w:hAnsiTheme="majorHAnsi" w:cs="Arial"/>
                <w:b/>
                <w:bCs/>
                <w:color w:val="000000"/>
                <w:szCs w:val="22"/>
                <w:lang w:eastAsia="es-AR"/>
              </w:rPr>
            </w:pPr>
            <w:r w:rsidRPr="00F91ED4">
              <w:rPr>
                <w:rFonts w:asciiTheme="majorHAnsi" w:hAnsiTheme="majorHAnsi" w:cs="Arial"/>
                <w:b/>
                <w:bCs/>
                <w:color w:val="000000"/>
                <w:szCs w:val="22"/>
                <w:lang w:eastAsia="es-AR"/>
              </w:rPr>
              <w:t>Estado</w:t>
            </w:r>
          </w:p>
        </w:tc>
      </w:tr>
      <w:tr w:rsidR="006262E1" w:rsidRPr="00053740" w:rsidTr="00F91ED4">
        <w:trPr>
          <w:trHeight w:val="510"/>
        </w:trPr>
        <w:tc>
          <w:tcPr>
            <w:tcW w:w="2057" w:type="dxa"/>
            <w:tcBorders>
              <w:top w:val="nil"/>
              <w:left w:val="single" w:sz="4" w:space="0" w:color="auto"/>
              <w:bottom w:val="single" w:sz="4" w:space="0" w:color="808080"/>
              <w:right w:val="single" w:sz="4" w:space="0" w:color="808080"/>
            </w:tcBorders>
            <w:shd w:val="clear" w:color="000000" w:fill="F2F2F2"/>
            <w:noWrap/>
            <w:vAlign w:val="center"/>
            <w:hideMark/>
          </w:tcPr>
          <w:p w:rsidR="006262E1" w:rsidRPr="00F91ED4" w:rsidRDefault="006262E1"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Serie 30</w:t>
            </w:r>
          </w:p>
        </w:tc>
        <w:tc>
          <w:tcPr>
            <w:tcW w:w="1559" w:type="dxa"/>
            <w:tcBorders>
              <w:top w:val="nil"/>
              <w:left w:val="nil"/>
              <w:bottom w:val="single" w:sz="4" w:space="0" w:color="808080"/>
              <w:right w:val="single" w:sz="4" w:space="0" w:color="808080"/>
            </w:tcBorders>
            <w:shd w:val="clear" w:color="000000" w:fill="F2F2F2"/>
            <w:noWrap/>
            <w:vAlign w:val="center"/>
            <w:hideMark/>
          </w:tcPr>
          <w:p w:rsidR="006262E1" w:rsidRPr="00F91ED4" w:rsidRDefault="006262E1"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$ 300.000.000</w:t>
            </w:r>
          </w:p>
        </w:tc>
        <w:tc>
          <w:tcPr>
            <w:tcW w:w="1474" w:type="dxa"/>
            <w:tcBorders>
              <w:top w:val="nil"/>
              <w:left w:val="nil"/>
              <w:bottom w:val="single" w:sz="4" w:space="0" w:color="808080"/>
              <w:right w:val="single" w:sz="4" w:space="0" w:color="808080"/>
            </w:tcBorders>
            <w:shd w:val="clear" w:color="000000" w:fill="F2F2F2"/>
            <w:noWrap/>
            <w:vAlign w:val="center"/>
            <w:hideMark/>
          </w:tcPr>
          <w:p w:rsidR="006262E1" w:rsidRPr="00F91ED4" w:rsidRDefault="006262E1"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21/08/2018</w:t>
            </w:r>
          </w:p>
        </w:tc>
        <w:tc>
          <w:tcPr>
            <w:tcW w:w="1350" w:type="dxa"/>
            <w:tcBorders>
              <w:top w:val="nil"/>
              <w:left w:val="nil"/>
              <w:bottom w:val="single" w:sz="4" w:space="0" w:color="808080"/>
              <w:right w:val="single" w:sz="4" w:space="0" w:color="auto"/>
            </w:tcBorders>
            <w:shd w:val="clear" w:color="000000" w:fill="F2F2F2"/>
            <w:noWrap/>
            <w:vAlign w:val="center"/>
            <w:hideMark/>
          </w:tcPr>
          <w:p w:rsidR="006262E1" w:rsidRPr="00F91ED4" w:rsidRDefault="006262E1"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0%</w:t>
            </w:r>
          </w:p>
        </w:tc>
        <w:tc>
          <w:tcPr>
            <w:tcW w:w="1437" w:type="dxa"/>
            <w:tcBorders>
              <w:top w:val="nil"/>
              <w:left w:val="single" w:sz="4" w:space="0" w:color="808080"/>
              <w:bottom w:val="single" w:sz="4" w:space="0" w:color="808080"/>
              <w:right w:val="single" w:sz="4" w:space="0" w:color="808080"/>
            </w:tcBorders>
            <w:shd w:val="clear" w:color="000000" w:fill="F2F2F2"/>
            <w:noWrap/>
            <w:vAlign w:val="center"/>
            <w:hideMark/>
          </w:tcPr>
          <w:p w:rsidR="006262E1" w:rsidRPr="00F91ED4" w:rsidRDefault="006262E1"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28/04/2019</w:t>
            </w:r>
          </w:p>
        </w:tc>
        <w:tc>
          <w:tcPr>
            <w:tcW w:w="1260" w:type="dxa"/>
            <w:tcBorders>
              <w:top w:val="nil"/>
              <w:left w:val="nil"/>
              <w:bottom w:val="single" w:sz="4" w:space="0" w:color="808080"/>
              <w:right w:val="single" w:sz="4" w:space="0" w:color="auto"/>
            </w:tcBorders>
            <w:shd w:val="clear" w:color="000000" w:fill="F2F2F2"/>
            <w:noWrap/>
            <w:vAlign w:val="center"/>
            <w:hideMark/>
          </w:tcPr>
          <w:p w:rsidR="006262E1" w:rsidRPr="00F91ED4" w:rsidRDefault="006262E1"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Vigente</w:t>
            </w:r>
          </w:p>
        </w:tc>
      </w:tr>
      <w:tr w:rsidR="00F91ED4" w:rsidRPr="00053740" w:rsidTr="00F91ED4">
        <w:trPr>
          <w:trHeight w:val="510"/>
        </w:trPr>
        <w:tc>
          <w:tcPr>
            <w:tcW w:w="2057" w:type="dxa"/>
            <w:tcBorders>
              <w:top w:val="nil"/>
              <w:left w:val="single" w:sz="4" w:space="0" w:color="auto"/>
              <w:bottom w:val="single" w:sz="4" w:space="0" w:color="808080"/>
              <w:right w:val="single" w:sz="4" w:space="0" w:color="808080"/>
            </w:tcBorders>
            <w:shd w:val="clear" w:color="auto" w:fill="auto"/>
            <w:noWrap/>
            <w:vAlign w:val="center"/>
          </w:tcPr>
          <w:p w:rsidR="00F91ED4" w:rsidRPr="00F91ED4" w:rsidRDefault="00F91ED4"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Serie 3</w:t>
            </w:r>
            <w:r w:rsidR="006262E1">
              <w:rPr>
                <w:rFonts w:asciiTheme="majorHAnsi" w:hAnsiTheme="majorHAnsi" w:cs="Arial"/>
                <w:color w:val="000000"/>
                <w:szCs w:val="22"/>
                <w:lang w:eastAsia="es-AR"/>
              </w:rPr>
              <w:t>1</w:t>
            </w:r>
          </w:p>
        </w:tc>
        <w:tc>
          <w:tcPr>
            <w:tcW w:w="1559" w:type="dxa"/>
            <w:tcBorders>
              <w:top w:val="nil"/>
              <w:left w:val="nil"/>
              <w:bottom w:val="single" w:sz="4" w:space="0" w:color="808080"/>
              <w:right w:val="single" w:sz="4" w:space="0" w:color="808080"/>
            </w:tcBorders>
            <w:shd w:val="clear" w:color="auto" w:fill="auto"/>
            <w:noWrap/>
            <w:vAlign w:val="center"/>
          </w:tcPr>
          <w:p w:rsidR="00F91ED4" w:rsidRPr="00F91ED4" w:rsidRDefault="00F91ED4" w:rsidP="006262E1">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$ 3</w:t>
            </w:r>
            <w:r w:rsidR="006262E1">
              <w:rPr>
                <w:rFonts w:asciiTheme="majorHAnsi" w:hAnsiTheme="majorHAnsi" w:cs="Arial"/>
                <w:color w:val="000000"/>
                <w:szCs w:val="22"/>
                <w:lang w:eastAsia="es-AR"/>
              </w:rPr>
              <w:t>50</w:t>
            </w:r>
            <w:r w:rsidRPr="00F91ED4">
              <w:rPr>
                <w:rFonts w:asciiTheme="majorHAnsi" w:hAnsiTheme="majorHAnsi" w:cs="Arial"/>
                <w:color w:val="000000"/>
                <w:szCs w:val="22"/>
                <w:lang w:eastAsia="es-AR"/>
              </w:rPr>
              <w:t>.000.000</w:t>
            </w:r>
          </w:p>
        </w:tc>
        <w:tc>
          <w:tcPr>
            <w:tcW w:w="1474" w:type="dxa"/>
            <w:tcBorders>
              <w:top w:val="nil"/>
              <w:left w:val="nil"/>
              <w:bottom w:val="single" w:sz="4" w:space="0" w:color="808080"/>
              <w:right w:val="single" w:sz="4" w:space="0" w:color="808080"/>
            </w:tcBorders>
            <w:shd w:val="clear" w:color="auto" w:fill="auto"/>
            <w:noWrap/>
            <w:vAlign w:val="center"/>
          </w:tcPr>
          <w:p w:rsidR="00F91ED4" w:rsidRPr="00F91ED4" w:rsidRDefault="00F91ED4" w:rsidP="00A04943">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2</w:t>
            </w:r>
            <w:r w:rsidR="00A04943">
              <w:rPr>
                <w:rFonts w:asciiTheme="majorHAnsi" w:hAnsiTheme="majorHAnsi" w:cs="Arial"/>
                <w:color w:val="000000"/>
                <w:szCs w:val="22"/>
                <w:lang w:eastAsia="es-AR"/>
              </w:rPr>
              <w:t>5</w:t>
            </w:r>
            <w:r w:rsidRPr="00F91ED4">
              <w:rPr>
                <w:rFonts w:asciiTheme="majorHAnsi" w:hAnsiTheme="majorHAnsi" w:cs="Arial"/>
                <w:color w:val="000000"/>
                <w:szCs w:val="22"/>
                <w:lang w:eastAsia="es-AR"/>
              </w:rPr>
              <w:t>/0</w:t>
            </w:r>
            <w:r w:rsidR="00A04943">
              <w:rPr>
                <w:rFonts w:asciiTheme="majorHAnsi" w:hAnsiTheme="majorHAnsi" w:cs="Arial"/>
                <w:color w:val="000000"/>
                <w:szCs w:val="22"/>
                <w:lang w:eastAsia="es-AR"/>
              </w:rPr>
              <w:t>2</w:t>
            </w:r>
            <w:r w:rsidRPr="00F91ED4">
              <w:rPr>
                <w:rFonts w:asciiTheme="majorHAnsi" w:hAnsiTheme="majorHAnsi" w:cs="Arial"/>
                <w:color w:val="000000"/>
                <w:szCs w:val="22"/>
                <w:lang w:eastAsia="es-AR"/>
              </w:rPr>
              <w:t>/201</w:t>
            </w:r>
            <w:r w:rsidR="00A04943">
              <w:rPr>
                <w:rFonts w:asciiTheme="majorHAnsi" w:hAnsiTheme="majorHAnsi" w:cs="Arial"/>
                <w:color w:val="000000"/>
                <w:szCs w:val="22"/>
                <w:lang w:eastAsia="es-AR"/>
              </w:rPr>
              <w:t>9</w:t>
            </w:r>
          </w:p>
        </w:tc>
        <w:tc>
          <w:tcPr>
            <w:tcW w:w="1350" w:type="dxa"/>
            <w:tcBorders>
              <w:top w:val="nil"/>
              <w:left w:val="nil"/>
              <w:bottom w:val="single" w:sz="4" w:space="0" w:color="808080"/>
              <w:right w:val="single" w:sz="4" w:space="0" w:color="auto"/>
            </w:tcBorders>
            <w:shd w:val="clear" w:color="auto" w:fill="auto"/>
            <w:noWrap/>
            <w:vAlign w:val="center"/>
          </w:tcPr>
          <w:p w:rsidR="00F91ED4" w:rsidRPr="00F91ED4" w:rsidRDefault="00F91ED4" w:rsidP="00F91ED4">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0%</w:t>
            </w:r>
          </w:p>
        </w:tc>
        <w:tc>
          <w:tcPr>
            <w:tcW w:w="1437" w:type="dxa"/>
            <w:tcBorders>
              <w:top w:val="nil"/>
              <w:left w:val="single" w:sz="4" w:space="0" w:color="808080"/>
              <w:bottom w:val="single" w:sz="4" w:space="0" w:color="808080"/>
              <w:right w:val="single" w:sz="4" w:space="0" w:color="808080"/>
            </w:tcBorders>
            <w:shd w:val="clear" w:color="auto" w:fill="auto"/>
            <w:noWrap/>
            <w:vAlign w:val="center"/>
          </w:tcPr>
          <w:p w:rsidR="00F91ED4" w:rsidRPr="00F91ED4" w:rsidRDefault="00F91ED4" w:rsidP="00A04943">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2</w:t>
            </w:r>
            <w:r w:rsidR="00A04943">
              <w:rPr>
                <w:rFonts w:asciiTheme="majorHAnsi" w:hAnsiTheme="majorHAnsi" w:cs="Arial"/>
                <w:color w:val="000000"/>
                <w:szCs w:val="22"/>
                <w:lang w:eastAsia="es-AR"/>
              </w:rPr>
              <w:t>3</w:t>
            </w:r>
            <w:r w:rsidRPr="00F91ED4">
              <w:rPr>
                <w:rFonts w:asciiTheme="majorHAnsi" w:hAnsiTheme="majorHAnsi" w:cs="Arial"/>
                <w:color w:val="000000"/>
                <w:szCs w:val="22"/>
                <w:lang w:eastAsia="es-AR"/>
              </w:rPr>
              <w:t>/0</w:t>
            </w:r>
            <w:r w:rsidR="00A04943">
              <w:rPr>
                <w:rFonts w:asciiTheme="majorHAnsi" w:hAnsiTheme="majorHAnsi" w:cs="Arial"/>
                <w:color w:val="000000"/>
                <w:szCs w:val="22"/>
                <w:lang w:eastAsia="es-AR"/>
              </w:rPr>
              <w:t>9</w:t>
            </w:r>
            <w:r w:rsidRPr="00F91ED4">
              <w:rPr>
                <w:rFonts w:asciiTheme="majorHAnsi" w:hAnsiTheme="majorHAnsi" w:cs="Arial"/>
                <w:color w:val="000000"/>
                <w:szCs w:val="22"/>
                <w:lang w:eastAsia="es-AR"/>
              </w:rPr>
              <w:t>/2019</w:t>
            </w:r>
          </w:p>
        </w:tc>
        <w:tc>
          <w:tcPr>
            <w:tcW w:w="1260" w:type="dxa"/>
            <w:tcBorders>
              <w:top w:val="nil"/>
              <w:left w:val="nil"/>
              <w:bottom w:val="single" w:sz="4" w:space="0" w:color="808080"/>
              <w:right w:val="single" w:sz="4" w:space="0" w:color="auto"/>
            </w:tcBorders>
            <w:shd w:val="clear" w:color="auto" w:fill="auto"/>
            <w:noWrap/>
            <w:vAlign w:val="center"/>
          </w:tcPr>
          <w:p w:rsidR="00F91ED4" w:rsidRPr="00F91ED4" w:rsidRDefault="00F91ED4" w:rsidP="00F91ED4">
            <w:pPr>
              <w:jc w:val="center"/>
              <w:rPr>
                <w:rFonts w:asciiTheme="majorHAnsi" w:hAnsiTheme="majorHAnsi" w:cs="Arial"/>
                <w:color w:val="000000"/>
                <w:szCs w:val="22"/>
                <w:lang w:eastAsia="es-AR"/>
              </w:rPr>
            </w:pPr>
            <w:r w:rsidRPr="00F91ED4">
              <w:rPr>
                <w:rFonts w:asciiTheme="majorHAnsi" w:hAnsiTheme="majorHAnsi" w:cs="Arial"/>
                <w:color w:val="000000"/>
                <w:szCs w:val="22"/>
                <w:lang w:eastAsia="es-AR"/>
              </w:rPr>
              <w:t>Vigente</w:t>
            </w:r>
          </w:p>
        </w:tc>
      </w:tr>
    </w:tbl>
    <w:p w:rsidR="003047B4" w:rsidRDefault="003047B4">
      <w:r>
        <w:br w:type="page"/>
      </w:r>
    </w:p>
    <w:tbl>
      <w:tblPr>
        <w:tblW w:w="9137" w:type="dxa"/>
        <w:tblInd w:w="70" w:type="dxa"/>
        <w:tblLayout w:type="fixed"/>
        <w:tblCellMar>
          <w:left w:w="70" w:type="dxa"/>
          <w:right w:w="70" w:type="dxa"/>
        </w:tblCellMar>
        <w:tblLook w:val="04A0"/>
      </w:tblPr>
      <w:tblGrid>
        <w:gridCol w:w="2057"/>
        <w:gridCol w:w="1559"/>
        <w:gridCol w:w="1474"/>
        <w:gridCol w:w="1350"/>
        <w:gridCol w:w="1437"/>
        <w:gridCol w:w="1260"/>
      </w:tblGrid>
      <w:tr w:rsidR="00053740" w:rsidRPr="00053740" w:rsidTr="00C84DCF">
        <w:trPr>
          <w:trHeight w:val="203"/>
        </w:trPr>
        <w:tc>
          <w:tcPr>
            <w:tcW w:w="2057" w:type="dxa"/>
            <w:tcBorders>
              <w:top w:val="nil"/>
              <w:left w:val="nil"/>
              <w:bottom w:val="nil"/>
              <w:right w:val="nil"/>
            </w:tcBorders>
            <w:shd w:val="clear" w:color="auto" w:fill="auto"/>
            <w:vAlign w:val="center"/>
            <w:hideMark/>
          </w:tcPr>
          <w:p w:rsidR="00053740" w:rsidRPr="00053740" w:rsidRDefault="00053740" w:rsidP="00053740">
            <w:pPr>
              <w:rPr>
                <w:rFonts w:ascii="Calibri" w:hAnsi="Calibri" w:cs="Calibri"/>
                <w:i/>
                <w:iCs/>
                <w:color w:val="000000"/>
                <w:sz w:val="20"/>
                <w:szCs w:val="20"/>
                <w:lang w:eastAsia="es-AR"/>
              </w:rPr>
            </w:pPr>
          </w:p>
        </w:tc>
        <w:tc>
          <w:tcPr>
            <w:tcW w:w="1559" w:type="dxa"/>
            <w:tcBorders>
              <w:top w:val="nil"/>
              <w:left w:val="nil"/>
              <w:bottom w:val="nil"/>
              <w:right w:val="nil"/>
            </w:tcBorders>
            <w:shd w:val="clear" w:color="auto" w:fill="auto"/>
            <w:vAlign w:val="center"/>
            <w:hideMark/>
          </w:tcPr>
          <w:p w:rsidR="00053740" w:rsidRPr="00053740" w:rsidRDefault="00053740" w:rsidP="00053740">
            <w:pPr>
              <w:rPr>
                <w:rFonts w:ascii="Times New Roman" w:hAnsi="Times New Roman"/>
                <w:sz w:val="20"/>
                <w:szCs w:val="20"/>
                <w:lang w:eastAsia="es-AR"/>
              </w:rPr>
            </w:pPr>
          </w:p>
        </w:tc>
        <w:tc>
          <w:tcPr>
            <w:tcW w:w="1474" w:type="dxa"/>
            <w:tcBorders>
              <w:top w:val="nil"/>
              <w:left w:val="nil"/>
              <w:bottom w:val="nil"/>
              <w:right w:val="nil"/>
            </w:tcBorders>
            <w:shd w:val="clear" w:color="auto" w:fill="auto"/>
            <w:vAlign w:val="center"/>
            <w:hideMark/>
          </w:tcPr>
          <w:p w:rsidR="00053740" w:rsidRPr="00053740" w:rsidRDefault="00053740" w:rsidP="00053740">
            <w:pPr>
              <w:rPr>
                <w:rFonts w:ascii="Times New Roman" w:hAnsi="Times New Roman"/>
                <w:sz w:val="20"/>
                <w:szCs w:val="20"/>
                <w:lang w:eastAsia="es-AR"/>
              </w:rPr>
            </w:pPr>
          </w:p>
        </w:tc>
        <w:tc>
          <w:tcPr>
            <w:tcW w:w="1350" w:type="dxa"/>
            <w:tcBorders>
              <w:top w:val="nil"/>
              <w:left w:val="nil"/>
              <w:bottom w:val="nil"/>
              <w:right w:val="nil"/>
            </w:tcBorders>
            <w:shd w:val="clear" w:color="auto" w:fill="auto"/>
            <w:vAlign w:val="center"/>
            <w:hideMark/>
          </w:tcPr>
          <w:p w:rsidR="00053740" w:rsidRPr="00053740" w:rsidRDefault="00053740" w:rsidP="00053740">
            <w:pPr>
              <w:rPr>
                <w:rFonts w:ascii="Times New Roman" w:hAnsi="Times New Roman"/>
                <w:sz w:val="20"/>
                <w:szCs w:val="20"/>
                <w:lang w:eastAsia="es-AR"/>
              </w:rPr>
            </w:pPr>
          </w:p>
        </w:tc>
        <w:tc>
          <w:tcPr>
            <w:tcW w:w="1437" w:type="dxa"/>
            <w:tcBorders>
              <w:top w:val="nil"/>
              <w:left w:val="nil"/>
              <w:bottom w:val="nil"/>
              <w:right w:val="nil"/>
            </w:tcBorders>
            <w:shd w:val="clear" w:color="auto" w:fill="auto"/>
            <w:vAlign w:val="center"/>
            <w:hideMark/>
          </w:tcPr>
          <w:p w:rsidR="00053740" w:rsidRPr="00053740" w:rsidRDefault="00053740" w:rsidP="00053740">
            <w:pPr>
              <w:rPr>
                <w:rFonts w:ascii="Times New Roman" w:hAnsi="Times New Roman"/>
                <w:sz w:val="20"/>
                <w:szCs w:val="20"/>
                <w:lang w:eastAsia="es-AR"/>
              </w:rPr>
            </w:pPr>
          </w:p>
        </w:tc>
        <w:tc>
          <w:tcPr>
            <w:tcW w:w="1260" w:type="dxa"/>
            <w:tcBorders>
              <w:top w:val="nil"/>
              <w:left w:val="nil"/>
              <w:bottom w:val="nil"/>
              <w:right w:val="nil"/>
            </w:tcBorders>
            <w:shd w:val="clear" w:color="auto" w:fill="auto"/>
            <w:vAlign w:val="center"/>
            <w:hideMark/>
          </w:tcPr>
          <w:p w:rsidR="00053740" w:rsidRPr="00053740" w:rsidRDefault="00053740" w:rsidP="00053740">
            <w:pPr>
              <w:rPr>
                <w:rFonts w:ascii="Times New Roman" w:hAnsi="Times New Roman"/>
                <w:sz w:val="20"/>
                <w:szCs w:val="20"/>
                <w:lang w:eastAsia="es-AR"/>
              </w:rPr>
            </w:pPr>
          </w:p>
        </w:tc>
      </w:tr>
      <w:tr w:rsidR="00053740" w:rsidRPr="003047B4" w:rsidTr="002D06F2">
        <w:trPr>
          <w:trHeight w:val="464"/>
        </w:trPr>
        <w:tc>
          <w:tcPr>
            <w:tcW w:w="9137" w:type="dxa"/>
            <w:gridSpan w:val="6"/>
            <w:tcBorders>
              <w:top w:val="nil"/>
              <w:left w:val="nil"/>
              <w:bottom w:val="single" w:sz="4" w:space="0" w:color="auto"/>
              <w:right w:val="nil"/>
            </w:tcBorders>
            <w:shd w:val="clear" w:color="auto" w:fill="auto"/>
            <w:noWrap/>
            <w:vAlign w:val="center"/>
            <w:hideMark/>
          </w:tcPr>
          <w:p w:rsidR="00053740" w:rsidRPr="003047B4" w:rsidRDefault="00053740" w:rsidP="003047B4">
            <w:pPr>
              <w:pStyle w:val="Textoindependiente"/>
              <w:jc w:val="left"/>
              <w:rPr>
                <w:rFonts w:ascii="Cambria" w:hAnsi="Cambria" w:cs="Times New Roman"/>
                <w:bCs w:val="0"/>
                <w:color w:val="auto"/>
                <w:sz w:val="24"/>
                <w:lang w:val="es-AR"/>
              </w:rPr>
            </w:pPr>
            <w:r w:rsidRPr="003047B4">
              <w:rPr>
                <w:rFonts w:ascii="Cambria" w:hAnsi="Cambria" w:cs="Times New Roman"/>
                <w:bCs w:val="0"/>
                <w:color w:val="auto"/>
                <w:sz w:val="24"/>
                <w:lang w:val="es-AR"/>
              </w:rPr>
              <w:t>Créditos Bancarios</w:t>
            </w:r>
          </w:p>
        </w:tc>
      </w:tr>
      <w:tr w:rsidR="00053740" w:rsidRPr="00053740" w:rsidTr="003047B4">
        <w:trPr>
          <w:trHeight w:val="567"/>
        </w:trPr>
        <w:tc>
          <w:tcPr>
            <w:tcW w:w="2057" w:type="dxa"/>
            <w:tcBorders>
              <w:top w:val="nil"/>
              <w:left w:val="single" w:sz="4" w:space="0" w:color="auto"/>
              <w:bottom w:val="single" w:sz="4" w:space="0" w:color="auto"/>
              <w:right w:val="single" w:sz="4" w:space="0" w:color="808080"/>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Crédito*</w:t>
            </w:r>
          </w:p>
        </w:tc>
        <w:tc>
          <w:tcPr>
            <w:tcW w:w="1559" w:type="dxa"/>
            <w:tcBorders>
              <w:top w:val="nil"/>
              <w:left w:val="nil"/>
              <w:bottom w:val="single" w:sz="4" w:space="0" w:color="auto"/>
              <w:right w:val="single" w:sz="4" w:space="0" w:color="808080"/>
            </w:tcBorders>
            <w:shd w:val="clear" w:color="auto" w:fill="auto"/>
            <w:vAlign w:val="center"/>
            <w:hideMark/>
          </w:tcPr>
          <w:p w:rsidR="00053740"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 xml:space="preserve"> Monto</w:t>
            </w:r>
          </w:p>
          <w:p w:rsidR="003047B4" w:rsidRPr="003047B4" w:rsidRDefault="003047B4" w:rsidP="00053740">
            <w:pPr>
              <w:jc w:val="center"/>
              <w:rPr>
                <w:rFonts w:asciiTheme="majorHAnsi" w:hAnsiTheme="majorHAnsi" w:cs="Arial"/>
                <w:b/>
                <w:bCs/>
                <w:color w:val="000000"/>
                <w:szCs w:val="22"/>
                <w:lang w:eastAsia="es-AR"/>
              </w:rPr>
            </w:pPr>
            <w:r>
              <w:rPr>
                <w:rFonts w:asciiTheme="majorHAnsi" w:hAnsiTheme="majorHAnsi" w:cs="Arial"/>
                <w:b/>
                <w:bCs/>
                <w:color w:val="000000"/>
                <w:szCs w:val="22"/>
                <w:lang w:eastAsia="es-AR"/>
              </w:rPr>
              <w:t>(ARS)</w:t>
            </w:r>
          </w:p>
        </w:tc>
        <w:tc>
          <w:tcPr>
            <w:tcW w:w="1474" w:type="dxa"/>
            <w:tcBorders>
              <w:top w:val="nil"/>
              <w:left w:val="nil"/>
              <w:bottom w:val="single" w:sz="4" w:space="0" w:color="auto"/>
              <w:right w:val="single" w:sz="4" w:space="0" w:color="808080"/>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Fecha</w:t>
            </w:r>
          </w:p>
        </w:tc>
        <w:tc>
          <w:tcPr>
            <w:tcW w:w="1350" w:type="dxa"/>
            <w:tcBorders>
              <w:top w:val="nil"/>
              <w:left w:val="nil"/>
              <w:bottom w:val="single" w:sz="4" w:space="0" w:color="auto"/>
              <w:right w:val="single" w:sz="4" w:space="0" w:color="auto"/>
            </w:tcBorders>
            <w:shd w:val="clear" w:color="auto" w:fill="auto"/>
            <w:vAlign w:val="center"/>
            <w:hideMark/>
          </w:tcPr>
          <w:p w:rsidR="00053740" w:rsidRPr="003047B4" w:rsidRDefault="00053740" w:rsidP="00AF0CF9">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 Capital Amortizado</w:t>
            </w:r>
            <w:r w:rsidR="00B4313B" w:rsidRPr="003047B4">
              <w:rPr>
                <w:rFonts w:asciiTheme="majorHAnsi" w:hAnsiTheme="majorHAnsi" w:cs="Arial"/>
                <w:b/>
                <w:bCs/>
                <w:color w:val="000000"/>
                <w:szCs w:val="22"/>
                <w:lang w:eastAsia="es-AR"/>
              </w:rPr>
              <w:t xml:space="preserve"> Original</w:t>
            </w:r>
            <w:r w:rsidR="00AF0CF9">
              <w:rPr>
                <w:rFonts w:asciiTheme="majorHAnsi" w:hAnsiTheme="majorHAnsi" w:cs="Arial"/>
                <w:b/>
                <w:bCs/>
                <w:color w:val="000000"/>
                <w:szCs w:val="22"/>
                <w:lang w:eastAsia="es-AR"/>
              </w:rPr>
              <w:t xml:space="preserve">       ($ 70 M)</w:t>
            </w:r>
          </w:p>
        </w:tc>
        <w:tc>
          <w:tcPr>
            <w:tcW w:w="1437" w:type="dxa"/>
            <w:tcBorders>
              <w:top w:val="nil"/>
              <w:left w:val="single" w:sz="4" w:space="0" w:color="808080"/>
              <w:bottom w:val="single" w:sz="4" w:space="0" w:color="auto"/>
              <w:right w:val="single" w:sz="4" w:space="0" w:color="808080"/>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Fecha de Cancelación</w:t>
            </w:r>
          </w:p>
        </w:tc>
        <w:tc>
          <w:tcPr>
            <w:tcW w:w="1260" w:type="dxa"/>
            <w:tcBorders>
              <w:top w:val="nil"/>
              <w:left w:val="nil"/>
              <w:bottom w:val="single" w:sz="4" w:space="0" w:color="auto"/>
              <w:right w:val="single" w:sz="4" w:space="0" w:color="auto"/>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Estado</w:t>
            </w:r>
          </w:p>
        </w:tc>
      </w:tr>
      <w:tr w:rsidR="00AF0CF9" w:rsidRPr="00053740" w:rsidTr="003047B4">
        <w:trPr>
          <w:trHeight w:val="567"/>
        </w:trPr>
        <w:tc>
          <w:tcPr>
            <w:tcW w:w="2057" w:type="dxa"/>
            <w:tcBorders>
              <w:top w:val="single" w:sz="4" w:space="0" w:color="auto"/>
              <w:left w:val="single" w:sz="4" w:space="0" w:color="auto"/>
              <w:bottom w:val="single" w:sz="4" w:space="0" w:color="808080"/>
              <w:right w:val="single" w:sz="4" w:space="0" w:color="808080"/>
            </w:tcBorders>
            <w:shd w:val="clear" w:color="auto" w:fill="F2F2F2" w:themeFill="background1" w:themeFillShade="F2"/>
            <w:vAlign w:val="center"/>
            <w:hideMark/>
          </w:tcPr>
          <w:p w:rsidR="00AF0CF9" w:rsidRPr="003047B4" w:rsidRDefault="00AF0CF9" w:rsidP="00AF0CF9">
            <w:pPr>
              <w:jc w:val="center"/>
              <w:rPr>
                <w:rFonts w:asciiTheme="majorHAnsi" w:hAnsiTheme="majorHAnsi" w:cs="Arial"/>
                <w:color w:val="000000"/>
                <w:szCs w:val="22"/>
                <w:lang w:eastAsia="es-AR"/>
              </w:rPr>
            </w:pPr>
            <w:r w:rsidRPr="003047B4">
              <w:rPr>
                <w:rFonts w:asciiTheme="majorHAnsi" w:hAnsiTheme="majorHAnsi" w:cs="Arial"/>
                <w:color w:val="000000"/>
                <w:szCs w:val="22"/>
                <w:lang w:eastAsia="es-AR"/>
              </w:rPr>
              <w:t>Línea Productiva - Santander Río</w:t>
            </w:r>
          </w:p>
        </w:tc>
        <w:tc>
          <w:tcPr>
            <w:tcW w:w="1559" w:type="dxa"/>
            <w:tcBorders>
              <w:top w:val="single" w:sz="4" w:space="0" w:color="auto"/>
              <w:left w:val="nil"/>
              <w:bottom w:val="single" w:sz="4" w:space="0" w:color="808080"/>
              <w:right w:val="single" w:sz="4" w:space="0" w:color="808080"/>
            </w:tcBorders>
            <w:shd w:val="clear" w:color="auto" w:fill="F2F2F2" w:themeFill="background1" w:themeFillShade="F2"/>
            <w:noWrap/>
            <w:vAlign w:val="center"/>
            <w:hideMark/>
          </w:tcPr>
          <w:p w:rsidR="00AF0CF9" w:rsidRPr="003047B4" w:rsidRDefault="00AF0CF9" w:rsidP="00AF0CF9">
            <w:pPr>
              <w:jc w:val="center"/>
              <w:rPr>
                <w:rFonts w:asciiTheme="majorHAnsi" w:hAnsiTheme="majorHAnsi" w:cs="Arial"/>
                <w:color w:val="000000"/>
                <w:szCs w:val="22"/>
                <w:lang w:eastAsia="es-AR"/>
              </w:rPr>
            </w:pPr>
            <w:r>
              <w:rPr>
                <w:rFonts w:asciiTheme="majorHAnsi" w:hAnsiTheme="majorHAnsi" w:cs="Arial"/>
                <w:color w:val="000000"/>
                <w:szCs w:val="22"/>
                <w:lang w:eastAsia="es-AR"/>
              </w:rPr>
              <w:t>$ 11.867.000</w:t>
            </w:r>
          </w:p>
        </w:tc>
        <w:tc>
          <w:tcPr>
            <w:tcW w:w="1474" w:type="dxa"/>
            <w:tcBorders>
              <w:top w:val="single" w:sz="4" w:space="0" w:color="auto"/>
              <w:left w:val="nil"/>
              <w:bottom w:val="single" w:sz="4" w:space="0" w:color="808080"/>
              <w:right w:val="single" w:sz="4" w:space="0" w:color="808080"/>
            </w:tcBorders>
            <w:shd w:val="clear" w:color="auto" w:fill="F2F2F2" w:themeFill="background1" w:themeFillShade="F2"/>
            <w:noWrap/>
            <w:vAlign w:val="center"/>
            <w:hideMark/>
          </w:tcPr>
          <w:p w:rsidR="00AF0CF9" w:rsidRPr="003047B4" w:rsidRDefault="00AF0CF9" w:rsidP="00AF0CF9">
            <w:pPr>
              <w:jc w:val="center"/>
              <w:rPr>
                <w:rFonts w:asciiTheme="majorHAnsi" w:hAnsiTheme="majorHAnsi" w:cs="Arial"/>
                <w:color w:val="000000"/>
                <w:szCs w:val="22"/>
                <w:lang w:eastAsia="es-AR"/>
              </w:rPr>
            </w:pPr>
            <w:r>
              <w:rPr>
                <w:rFonts w:asciiTheme="majorHAnsi" w:hAnsiTheme="majorHAnsi" w:cs="Arial"/>
                <w:color w:val="000000"/>
                <w:szCs w:val="22"/>
                <w:lang w:eastAsia="es-AR"/>
              </w:rPr>
              <w:t>22/03/2019</w:t>
            </w:r>
          </w:p>
        </w:tc>
        <w:tc>
          <w:tcPr>
            <w:tcW w:w="1350" w:type="dxa"/>
            <w:tcBorders>
              <w:top w:val="single" w:sz="4" w:space="0" w:color="auto"/>
              <w:left w:val="nil"/>
              <w:bottom w:val="single" w:sz="4" w:space="0" w:color="808080"/>
              <w:right w:val="single" w:sz="4" w:space="0" w:color="808080"/>
            </w:tcBorders>
            <w:shd w:val="clear" w:color="auto" w:fill="F2F2F2" w:themeFill="background1" w:themeFillShade="F2"/>
            <w:noWrap/>
            <w:vAlign w:val="center"/>
            <w:hideMark/>
          </w:tcPr>
          <w:p w:rsidR="00AF0CF9" w:rsidRPr="003047B4" w:rsidRDefault="00AF0CF9" w:rsidP="00AF0CF9">
            <w:pPr>
              <w:jc w:val="center"/>
              <w:rPr>
                <w:rFonts w:asciiTheme="majorHAnsi" w:hAnsiTheme="majorHAnsi" w:cs="Arial"/>
                <w:color w:val="000000"/>
                <w:szCs w:val="22"/>
                <w:lang w:eastAsia="es-AR"/>
              </w:rPr>
            </w:pPr>
            <w:r>
              <w:rPr>
                <w:rFonts w:asciiTheme="majorHAnsi" w:hAnsiTheme="majorHAnsi" w:cs="Arial"/>
                <w:color w:val="000000"/>
                <w:szCs w:val="22"/>
                <w:lang w:eastAsia="es-AR"/>
              </w:rPr>
              <w:t>83,05%</w:t>
            </w:r>
          </w:p>
        </w:tc>
        <w:tc>
          <w:tcPr>
            <w:tcW w:w="1437" w:type="dxa"/>
            <w:tcBorders>
              <w:top w:val="single" w:sz="4" w:space="0" w:color="auto"/>
              <w:left w:val="nil"/>
              <w:bottom w:val="single" w:sz="4" w:space="0" w:color="808080"/>
              <w:right w:val="single" w:sz="4" w:space="0" w:color="808080"/>
            </w:tcBorders>
            <w:shd w:val="clear" w:color="auto" w:fill="F2F2F2" w:themeFill="background1" w:themeFillShade="F2"/>
            <w:noWrap/>
            <w:vAlign w:val="center"/>
            <w:hideMark/>
          </w:tcPr>
          <w:p w:rsidR="00AF0CF9" w:rsidRPr="003047B4" w:rsidRDefault="00AF0CF9" w:rsidP="00AF0CF9">
            <w:pPr>
              <w:jc w:val="center"/>
              <w:rPr>
                <w:rFonts w:asciiTheme="majorHAnsi" w:hAnsiTheme="majorHAnsi" w:cs="Arial"/>
                <w:color w:val="000000"/>
                <w:szCs w:val="22"/>
                <w:lang w:eastAsia="es-AR"/>
              </w:rPr>
            </w:pPr>
            <w:r>
              <w:rPr>
                <w:rFonts w:asciiTheme="majorHAnsi" w:hAnsiTheme="majorHAnsi" w:cs="Arial"/>
                <w:color w:val="000000"/>
                <w:szCs w:val="22"/>
                <w:lang w:eastAsia="es-AR"/>
              </w:rPr>
              <w:t>10/1/2020</w:t>
            </w:r>
          </w:p>
        </w:tc>
        <w:tc>
          <w:tcPr>
            <w:tcW w:w="1260" w:type="dxa"/>
            <w:tcBorders>
              <w:top w:val="single" w:sz="4" w:space="0" w:color="auto"/>
              <w:left w:val="nil"/>
              <w:bottom w:val="single" w:sz="4" w:space="0" w:color="808080"/>
              <w:right w:val="single" w:sz="4" w:space="0" w:color="auto"/>
            </w:tcBorders>
            <w:shd w:val="clear" w:color="auto" w:fill="F2F2F2" w:themeFill="background1" w:themeFillShade="F2"/>
            <w:noWrap/>
            <w:vAlign w:val="center"/>
            <w:hideMark/>
          </w:tcPr>
          <w:p w:rsidR="00AF0CF9" w:rsidRPr="003047B4" w:rsidRDefault="00AF0CF9" w:rsidP="00AF0CF9">
            <w:pPr>
              <w:jc w:val="center"/>
              <w:rPr>
                <w:rFonts w:asciiTheme="majorHAnsi" w:hAnsiTheme="majorHAnsi" w:cs="Arial"/>
                <w:color w:val="000000"/>
                <w:szCs w:val="22"/>
                <w:lang w:eastAsia="es-AR"/>
              </w:rPr>
            </w:pPr>
            <w:r>
              <w:rPr>
                <w:rFonts w:asciiTheme="majorHAnsi" w:hAnsiTheme="majorHAnsi" w:cs="Arial"/>
                <w:color w:val="000000"/>
                <w:szCs w:val="22"/>
                <w:lang w:eastAsia="es-AR"/>
              </w:rPr>
              <w:t>Vigente</w:t>
            </w:r>
          </w:p>
        </w:tc>
      </w:tr>
      <w:tr w:rsidR="00053740" w:rsidRPr="00053740" w:rsidTr="002D06F2">
        <w:trPr>
          <w:trHeight w:val="464"/>
        </w:trPr>
        <w:tc>
          <w:tcPr>
            <w:tcW w:w="9137" w:type="dxa"/>
            <w:gridSpan w:val="6"/>
            <w:tcBorders>
              <w:top w:val="single" w:sz="4" w:space="0" w:color="auto"/>
              <w:left w:val="nil"/>
              <w:bottom w:val="nil"/>
              <w:right w:val="nil"/>
            </w:tcBorders>
            <w:shd w:val="clear" w:color="auto" w:fill="auto"/>
            <w:vAlign w:val="center"/>
            <w:hideMark/>
          </w:tcPr>
          <w:p w:rsidR="00053740" w:rsidRPr="00053740" w:rsidRDefault="00053740" w:rsidP="00053740">
            <w:pPr>
              <w:rPr>
                <w:rFonts w:ascii="Calibri" w:hAnsi="Calibri" w:cs="Calibri"/>
                <w:i/>
                <w:iCs/>
                <w:color w:val="000000"/>
                <w:sz w:val="20"/>
                <w:szCs w:val="20"/>
                <w:lang w:eastAsia="es-AR"/>
              </w:rPr>
            </w:pPr>
            <w:r w:rsidRPr="00053740">
              <w:rPr>
                <w:rFonts w:ascii="Calibri" w:hAnsi="Calibri" w:cs="Calibri"/>
                <w:i/>
                <w:iCs/>
                <w:color w:val="000000"/>
                <w:sz w:val="20"/>
                <w:szCs w:val="20"/>
                <w:lang w:eastAsia="es-AR"/>
              </w:rPr>
              <w:t>*El porcentaje de intereses cancelados y de capital amortizado se calcula sobre el importe total a cancelar.</w:t>
            </w:r>
          </w:p>
        </w:tc>
      </w:tr>
      <w:tr w:rsidR="00053740" w:rsidRPr="00053740" w:rsidTr="00C84DCF">
        <w:trPr>
          <w:trHeight w:val="304"/>
        </w:trPr>
        <w:tc>
          <w:tcPr>
            <w:tcW w:w="2057" w:type="dxa"/>
            <w:tcBorders>
              <w:top w:val="nil"/>
              <w:left w:val="nil"/>
              <w:bottom w:val="nil"/>
              <w:right w:val="nil"/>
            </w:tcBorders>
            <w:shd w:val="clear" w:color="auto" w:fill="auto"/>
            <w:noWrap/>
            <w:vAlign w:val="bottom"/>
            <w:hideMark/>
          </w:tcPr>
          <w:p w:rsidR="00053740" w:rsidRPr="00053740" w:rsidRDefault="00053740" w:rsidP="00053740">
            <w:pPr>
              <w:rPr>
                <w:rFonts w:ascii="Calibri" w:hAnsi="Calibri" w:cs="Calibri"/>
                <w:i/>
                <w:iCs/>
                <w:color w:val="000000"/>
                <w:sz w:val="20"/>
                <w:szCs w:val="20"/>
                <w:lang w:eastAsia="es-AR"/>
              </w:rPr>
            </w:pPr>
          </w:p>
        </w:tc>
        <w:tc>
          <w:tcPr>
            <w:tcW w:w="1559"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474"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350"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437"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260"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r>
      <w:tr w:rsidR="00053740" w:rsidRPr="003047B4" w:rsidTr="002D06F2">
        <w:trPr>
          <w:trHeight w:val="464"/>
        </w:trPr>
        <w:tc>
          <w:tcPr>
            <w:tcW w:w="9137" w:type="dxa"/>
            <w:gridSpan w:val="6"/>
            <w:tcBorders>
              <w:top w:val="nil"/>
              <w:left w:val="nil"/>
              <w:bottom w:val="single" w:sz="4" w:space="0" w:color="auto"/>
              <w:right w:val="nil"/>
            </w:tcBorders>
            <w:shd w:val="clear" w:color="auto" w:fill="auto"/>
            <w:noWrap/>
            <w:vAlign w:val="center"/>
            <w:hideMark/>
          </w:tcPr>
          <w:p w:rsidR="00053740" w:rsidRPr="003047B4" w:rsidRDefault="00053740" w:rsidP="003047B4">
            <w:pPr>
              <w:pStyle w:val="Textoindependiente"/>
              <w:jc w:val="left"/>
              <w:rPr>
                <w:rFonts w:ascii="Cambria" w:hAnsi="Cambria" w:cs="Times New Roman"/>
                <w:bCs w:val="0"/>
                <w:color w:val="auto"/>
                <w:sz w:val="24"/>
                <w:lang w:val="es-AR"/>
              </w:rPr>
            </w:pPr>
            <w:r w:rsidRPr="003047B4">
              <w:rPr>
                <w:rFonts w:ascii="Cambria" w:hAnsi="Cambria" w:cs="Times New Roman"/>
                <w:bCs w:val="0"/>
                <w:color w:val="auto"/>
                <w:sz w:val="24"/>
                <w:lang w:val="es-AR"/>
              </w:rPr>
              <w:t>Títulos de Consolidación</w:t>
            </w:r>
          </w:p>
        </w:tc>
      </w:tr>
      <w:tr w:rsidR="00053740" w:rsidRPr="00053740" w:rsidTr="003047B4">
        <w:trPr>
          <w:trHeight w:val="567"/>
        </w:trPr>
        <w:tc>
          <w:tcPr>
            <w:tcW w:w="2057" w:type="dxa"/>
            <w:tcBorders>
              <w:top w:val="nil"/>
              <w:left w:val="single" w:sz="4" w:space="0" w:color="auto"/>
              <w:bottom w:val="single" w:sz="4" w:space="0" w:color="auto"/>
              <w:right w:val="single" w:sz="4" w:space="0" w:color="808080"/>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Título</w:t>
            </w:r>
          </w:p>
        </w:tc>
        <w:tc>
          <w:tcPr>
            <w:tcW w:w="1559" w:type="dxa"/>
            <w:tcBorders>
              <w:top w:val="nil"/>
              <w:left w:val="nil"/>
              <w:bottom w:val="single" w:sz="4" w:space="0" w:color="auto"/>
              <w:right w:val="single" w:sz="4" w:space="0" w:color="808080"/>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 xml:space="preserve"> Monto</w:t>
            </w:r>
            <w:r w:rsidRPr="003047B4">
              <w:rPr>
                <w:rFonts w:asciiTheme="majorHAnsi" w:hAnsiTheme="majorHAnsi" w:cs="Arial"/>
                <w:b/>
                <w:bCs/>
                <w:color w:val="000000"/>
                <w:szCs w:val="22"/>
                <w:lang w:eastAsia="es-AR"/>
              </w:rPr>
              <w:br/>
              <w:t>(ARS)</w:t>
            </w:r>
          </w:p>
        </w:tc>
        <w:tc>
          <w:tcPr>
            <w:tcW w:w="1474" w:type="dxa"/>
            <w:tcBorders>
              <w:top w:val="nil"/>
              <w:left w:val="nil"/>
              <w:bottom w:val="single" w:sz="4" w:space="0" w:color="auto"/>
              <w:right w:val="single" w:sz="4" w:space="0" w:color="808080"/>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Emisión</w:t>
            </w:r>
          </w:p>
        </w:tc>
        <w:tc>
          <w:tcPr>
            <w:tcW w:w="1350" w:type="dxa"/>
            <w:tcBorders>
              <w:top w:val="nil"/>
              <w:left w:val="nil"/>
              <w:bottom w:val="single" w:sz="4" w:space="0" w:color="auto"/>
              <w:right w:val="single" w:sz="4" w:space="0" w:color="auto"/>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 Capital Amortizado</w:t>
            </w:r>
          </w:p>
        </w:tc>
        <w:tc>
          <w:tcPr>
            <w:tcW w:w="1437" w:type="dxa"/>
            <w:tcBorders>
              <w:top w:val="nil"/>
              <w:left w:val="single" w:sz="4" w:space="0" w:color="808080"/>
              <w:bottom w:val="single" w:sz="4" w:space="0" w:color="auto"/>
              <w:right w:val="single" w:sz="4" w:space="0" w:color="808080"/>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Fecha de Cancelación</w:t>
            </w:r>
          </w:p>
        </w:tc>
        <w:tc>
          <w:tcPr>
            <w:tcW w:w="1260" w:type="dxa"/>
            <w:tcBorders>
              <w:top w:val="nil"/>
              <w:left w:val="nil"/>
              <w:bottom w:val="single" w:sz="4" w:space="0" w:color="auto"/>
              <w:right w:val="single" w:sz="4" w:space="0" w:color="auto"/>
            </w:tcBorders>
            <w:shd w:val="clear" w:color="auto" w:fill="auto"/>
            <w:vAlign w:val="center"/>
            <w:hideMark/>
          </w:tcPr>
          <w:p w:rsidR="00053740" w:rsidRPr="003047B4" w:rsidRDefault="00053740" w:rsidP="00053740">
            <w:pPr>
              <w:jc w:val="center"/>
              <w:rPr>
                <w:rFonts w:asciiTheme="majorHAnsi" w:hAnsiTheme="majorHAnsi" w:cs="Arial"/>
                <w:b/>
                <w:bCs/>
                <w:color w:val="000000"/>
                <w:szCs w:val="22"/>
                <w:lang w:eastAsia="es-AR"/>
              </w:rPr>
            </w:pPr>
            <w:r w:rsidRPr="003047B4">
              <w:rPr>
                <w:rFonts w:asciiTheme="majorHAnsi" w:hAnsiTheme="majorHAnsi" w:cs="Arial"/>
                <w:b/>
                <w:bCs/>
                <w:color w:val="000000"/>
                <w:szCs w:val="22"/>
                <w:lang w:eastAsia="es-AR"/>
              </w:rPr>
              <w:t>Estado</w:t>
            </w:r>
          </w:p>
        </w:tc>
      </w:tr>
      <w:tr w:rsidR="00053740" w:rsidRPr="00053740" w:rsidTr="003047B4">
        <w:trPr>
          <w:trHeight w:val="567"/>
        </w:trPr>
        <w:tc>
          <w:tcPr>
            <w:tcW w:w="2057" w:type="dxa"/>
            <w:tcBorders>
              <w:top w:val="nil"/>
              <w:left w:val="single" w:sz="4" w:space="0" w:color="auto"/>
              <w:bottom w:val="single" w:sz="4" w:space="0" w:color="808080"/>
              <w:right w:val="single" w:sz="4" w:space="0" w:color="808080"/>
            </w:tcBorders>
            <w:shd w:val="clear" w:color="000000" w:fill="F2F2F2"/>
            <w:vAlign w:val="center"/>
            <w:hideMark/>
          </w:tcPr>
          <w:p w:rsidR="00053740" w:rsidRPr="003047B4" w:rsidRDefault="00053740" w:rsidP="00053740">
            <w:pPr>
              <w:jc w:val="center"/>
              <w:rPr>
                <w:rFonts w:asciiTheme="majorHAnsi" w:hAnsiTheme="majorHAnsi" w:cs="Arial"/>
                <w:bCs/>
                <w:color w:val="000000"/>
                <w:szCs w:val="22"/>
                <w:lang w:eastAsia="es-AR"/>
              </w:rPr>
            </w:pPr>
            <w:r w:rsidRPr="003047B4">
              <w:rPr>
                <w:rFonts w:asciiTheme="majorHAnsi" w:hAnsiTheme="majorHAnsi" w:cs="Arial"/>
                <w:bCs/>
                <w:color w:val="000000"/>
                <w:szCs w:val="22"/>
                <w:lang w:eastAsia="es-AR"/>
              </w:rPr>
              <w:t>TCM Clase C</w:t>
            </w:r>
          </w:p>
        </w:tc>
        <w:tc>
          <w:tcPr>
            <w:tcW w:w="1559" w:type="dxa"/>
            <w:tcBorders>
              <w:top w:val="nil"/>
              <w:left w:val="nil"/>
              <w:bottom w:val="single" w:sz="4" w:space="0" w:color="808080"/>
              <w:right w:val="single" w:sz="4" w:space="0" w:color="808080"/>
            </w:tcBorders>
            <w:shd w:val="clear" w:color="000000" w:fill="F2F2F2"/>
            <w:noWrap/>
            <w:vAlign w:val="center"/>
            <w:hideMark/>
          </w:tcPr>
          <w:p w:rsidR="00053740" w:rsidRPr="003047B4" w:rsidRDefault="00C228CA" w:rsidP="005E4413">
            <w:pPr>
              <w:jc w:val="center"/>
              <w:rPr>
                <w:rFonts w:asciiTheme="majorHAnsi" w:hAnsiTheme="majorHAnsi" w:cs="Arial"/>
                <w:bCs/>
                <w:color w:val="000000"/>
                <w:szCs w:val="22"/>
                <w:lang w:eastAsia="es-AR"/>
              </w:rPr>
            </w:pPr>
            <w:r w:rsidRPr="003047B4">
              <w:rPr>
                <w:rFonts w:asciiTheme="majorHAnsi" w:hAnsiTheme="majorHAnsi" w:cs="Arial"/>
                <w:bCs/>
                <w:color w:val="000000"/>
                <w:szCs w:val="22"/>
                <w:lang w:eastAsia="es-AR"/>
              </w:rPr>
              <w:t xml:space="preserve">$ </w:t>
            </w:r>
            <w:r w:rsidR="0086582B">
              <w:rPr>
                <w:rFonts w:asciiTheme="majorHAnsi" w:hAnsiTheme="majorHAnsi" w:cs="Arial"/>
                <w:bCs/>
                <w:color w:val="000000"/>
                <w:szCs w:val="22"/>
                <w:lang w:eastAsia="es-AR"/>
              </w:rPr>
              <w:t>59.687.741</w:t>
            </w:r>
          </w:p>
        </w:tc>
        <w:tc>
          <w:tcPr>
            <w:tcW w:w="1474" w:type="dxa"/>
            <w:tcBorders>
              <w:top w:val="nil"/>
              <w:left w:val="nil"/>
              <w:bottom w:val="single" w:sz="4" w:space="0" w:color="808080"/>
              <w:right w:val="single" w:sz="4" w:space="0" w:color="808080"/>
            </w:tcBorders>
            <w:shd w:val="clear" w:color="000000" w:fill="F2F2F2"/>
            <w:noWrap/>
            <w:vAlign w:val="center"/>
            <w:hideMark/>
          </w:tcPr>
          <w:p w:rsidR="00053740" w:rsidRPr="003047B4" w:rsidRDefault="00053740" w:rsidP="00053740">
            <w:pPr>
              <w:jc w:val="center"/>
              <w:rPr>
                <w:rFonts w:asciiTheme="majorHAnsi" w:hAnsiTheme="majorHAnsi" w:cs="Arial"/>
                <w:bCs/>
                <w:color w:val="000000"/>
                <w:szCs w:val="22"/>
                <w:lang w:eastAsia="es-AR"/>
              </w:rPr>
            </w:pPr>
            <w:r w:rsidRPr="003047B4">
              <w:rPr>
                <w:rFonts w:asciiTheme="majorHAnsi" w:hAnsiTheme="majorHAnsi" w:cs="Arial"/>
                <w:bCs/>
                <w:color w:val="000000"/>
                <w:szCs w:val="22"/>
                <w:lang w:eastAsia="es-AR"/>
              </w:rPr>
              <w:t xml:space="preserve">2012 </w:t>
            </w:r>
          </w:p>
        </w:tc>
        <w:tc>
          <w:tcPr>
            <w:tcW w:w="1350" w:type="dxa"/>
            <w:tcBorders>
              <w:top w:val="nil"/>
              <w:left w:val="nil"/>
              <w:bottom w:val="single" w:sz="4" w:space="0" w:color="808080"/>
              <w:right w:val="single" w:sz="4" w:space="0" w:color="808080"/>
            </w:tcBorders>
            <w:shd w:val="clear" w:color="000000" w:fill="F2F2F2"/>
            <w:noWrap/>
            <w:vAlign w:val="center"/>
            <w:hideMark/>
          </w:tcPr>
          <w:p w:rsidR="00053740" w:rsidRPr="003047B4" w:rsidRDefault="003047B4" w:rsidP="00053740">
            <w:pPr>
              <w:jc w:val="center"/>
              <w:rPr>
                <w:rFonts w:asciiTheme="majorHAnsi" w:hAnsiTheme="majorHAnsi" w:cs="Arial"/>
                <w:bCs/>
                <w:color w:val="000000"/>
                <w:szCs w:val="22"/>
                <w:lang w:eastAsia="es-AR"/>
              </w:rPr>
            </w:pPr>
            <w:r>
              <w:rPr>
                <w:rFonts w:asciiTheme="majorHAnsi" w:hAnsiTheme="majorHAnsi" w:cs="Arial"/>
                <w:bCs/>
                <w:color w:val="000000"/>
                <w:szCs w:val="22"/>
                <w:lang w:eastAsia="es-AR"/>
              </w:rPr>
              <w:t>50</w:t>
            </w:r>
            <w:r w:rsidR="00053740" w:rsidRPr="003047B4">
              <w:rPr>
                <w:rFonts w:asciiTheme="majorHAnsi" w:hAnsiTheme="majorHAnsi" w:cs="Arial"/>
                <w:bCs/>
                <w:color w:val="000000"/>
                <w:szCs w:val="22"/>
                <w:lang w:eastAsia="es-AR"/>
              </w:rPr>
              <w:t>,0%</w:t>
            </w:r>
          </w:p>
        </w:tc>
        <w:tc>
          <w:tcPr>
            <w:tcW w:w="1437" w:type="dxa"/>
            <w:tcBorders>
              <w:top w:val="nil"/>
              <w:left w:val="nil"/>
              <w:bottom w:val="single" w:sz="4" w:space="0" w:color="808080"/>
              <w:right w:val="single" w:sz="4" w:space="0" w:color="808080"/>
            </w:tcBorders>
            <w:shd w:val="clear" w:color="000000" w:fill="F2F2F2"/>
            <w:noWrap/>
            <w:vAlign w:val="center"/>
            <w:hideMark/>
          </w:tcPr>
          <w:p w:rsidR="00053740" w:rsidRPr="003047B4" w:rsidRDefault="00053740" w:rsidP="00053740">
            <w:pPr>
              <w:jc w:val="center"/>
              <w:rPr>
                <w:rFonts w:asciiTheme="majorHAnsi" w:hAnsiTheme="majorHAnsi" w:cs="Arial"/>
                <w:bCs/>
                <w:color w:val="000000"/>
                <w:szCs w:val="22"/>
                <w:lang w:eastAsia="es-AR"/>
              </w:rPr>
            </w:pPr>
            <w:r w:rsidRPr="003047B4">
              <w:rPr>
                <w:rFonts w:asciiTheme="majorHAnsi" w:hAnsiTheme="majorHAnsi" w:cs="Arial"/>
                <w:bCs/>
                <w:color w:val="000000"/>
                <w:szCs w:val="22"/>
                <w:lang w:eastAsia="es-AR"/>
              </w:rPr>
              <w:t>15/11/2019</w:t>
            </w:r>
          </w:p>
        </w:tc>
        <w:tc>
          <w:tcPr>
            <w:tcW w:w="1260" w:type="dxa"/>
            <w:tcBorders>
              <w:top w:val="nil"/>
              <w:left w:val="nil"/>
              <w:bottom w:val="single" w:sz="4" w:space="0" w:color="808080"/>
              <w:right w:val="single" w:sz="4" w:space="0" w:color="auto"/>
            </w:tcBorders>
            <w:shd w:val="clear" w:color="000000" w:fill="F2F2F2"/>
            <w:noWrap/>
            <w:vAlign w:val="center"/>
            <w:hideMark/>
          </w:tcPr>
          <w:p w:rsidR="00053740" w:rsidRPr="003047B4" w:rsidRDefault="00053740" w:rsidP="00053740">
            <w:pPr>
              <w:jc w:val="center"/>
              <w:rPr>
                <w:rFonts w:asciiTheme="majorHAnsi" w:hAnsiTheme="majorHAnsi" w:cs="Arial"/>
                <w:bCs/>
                <w:color w:val="000000"/>
                <w:szCs w:val="22"/>
                <w:lang w:eastAsia="es-AR"/>
              </w:rPr>
            </w:pPr>
            <w:r w:rsidRPr="003047B4">
              <w:rPr>
                <w:rFonts w:asciiTheme="majorHAnsi" w:hAnsiTheme="majorHAnsi" w:cs="Arial"/>
                <w:bCs/>
                <w:color w:val="000000"/>
                <w:szCs w:val="22"/>
                <w:lang w:eastAsia="es-AR"/>
              </w:rPr>
              <w:t>Vigente</w:t>
            </w:r>
          </w:p>
        </w:tc>
      </w:tr>
      <w:tr w:rsidR="00053740" w:rsidRPr="00053740" w:rsidTr="00C84DCF">
        <w:trPr>
          <w:trHeight w:val="464"/>
        </w:trPr>
        <w:tc>
          <w:tcPr>
            <w:tcW w:w="2057" w:type="dxa"/>
            <w:tcBorders>
              <w:top w:val="nil"/>
              <w:left w:val="nil"/>
              <w:bottom w:val="nil"/>
              <w:right w:val="nil"/>
            </w:tcBorders>
            <w:shd w:val="clear" w:color="auto" w:fill="auto"/>
            <w:noWrap/>
            <w:vAlign w:val="bottom"/>
            <w:hideMark/>
          </w:tcPr>
          <w:p w:rsidR="00053740" w:rsidRPr="00053740" w:rsidRDefault="00053740" w:rsidP="00053740">
            <w:pPr>
              <w:jc w:val="center"/>
              <w:rPr>
                <w:rFonts w:ascii="Arial" w:hAnsi="Arial" w:cs="Arial"/>
                <w:color w:val="000000"/>
                <w:szCs w:val="22"/>
                <w:lang w:eastAsia="es-AR"/>
              </w:rPr>
            </w:pPr>
          </w:p>
        </w:tc>
        <w:tc>
          <w:tcPr>
            <w:tcW w:w="1559"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474"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350"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437"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c>
          <w:tcPr>
            <w:tcW w:w="1260" w:type="dxa"/>
            <w:tcBorders>
              <w:top w:val="nil"/>
              <w:left w:val="nil"/>
              <w:bottom w:val="nil"/>
              <w:right w:val="nil"/>
            </w:tcBorders>
            <w:shd w:val="clear" w:color="auto" w:fill="auto"/>
            <w:noWrap/>
            <w:vAlign w:val="bottom"/>
            <w:hideMark/>
          </w:tcPr>
          <w:p w:rsidR="00053740" w:rsidRPr="00053740" w:rsidRDefault="00053740" w:rsidP="00053740">
            <w:pPr>
              <w:rPr>
                <w:rFonts w:ascii="Times New Roman" w:hAnsi="Times New Roman"/>
                <w:sz w:val="20"/>
                <w:szCs w:val="20"/>
                <w:lang w:eastAsia="es-AR"/>
              </w:rPr>
            </w:pPr>
          </w:p>
        </w:tc>
      </w:tr>
    </w:tbl>
    <w:p w:rsidR="002733B9" w:rsidRPr="003047B4" w:rsidRDefault="002733B9" w:rsidP="003047B4">
      <w:pPr>
        <w:pStyle w:val="Textoindependiente"/>
        <w:jc w:val="left"/>
        <w:rPr>
          <w:rFonts w:ascii="Cambria" w:hAnsi="Cambria" w:cs="Times New Roman"/>
          <w:bCs w:val="0"/>
          <w:color w:val="auto"/>
          <w:sz w:val="24"/>
          <w:lang w:val="es-AR"/>
        </w:rPr>
      </w:pPr>
      <w:r w:rsidRPr="003047B4">
        <w:rPr>
          <w:rFonts w:ascii="Cambria" w:hAnsi="Cambria" w:cs="Times New Roman"/>
          <w:bCs w:val="0"/>
          <w:color w:val="auto"/>
          <w:sz w:val="24"/>
          <w:lang w:val="es-AR"/>
        </w:rPr>
        <w:t>Bono Internacional por U$S 150 Millones</w:t>
      </w:r>
    </w:p>
    <w:p w:rsidR="002733B9" w:rsidRPr="00BF58DA" w:rsidRDefault="002733B9" w:rsidP="00BF58DA">
      <w:pPr>
        <w:pStyle w:val="Ttulo2"/>
        <w:jc w:val="left"/>
        <w:rPr>
          <w:rFonts w:ascii="Cambria" w:hAnsi="Cambria"/>
          <w:b/>
          <w:color w:val="auto"/>
          <w:szCs w:val="28"/>
          <w:lang w:val="es-AR"/>
        </w:rPr>
      </w:pPr>
    </w:p>
    <w:p w:rsidR="002733B9" w:rsidRPr="00BF58DA" w:rsidRDefault="002733B9" w:rsidP="002733B9">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El municipio realizó de manera exitosa una emisión internacional de un bono por U$S 150.000.000, obteniendo una tasa de 7,875 % en un plazo de 8 años y amortiza en tramos iguales en 2022, 2023 y 2024 mientras que los cupones de interés serán pagos semestrales.</w:t>
      </w:r>
    </w:p>
    <w:p w:rsidR="002733B9" w:rsidRDefault="002733B9" w:rsidP="002733B9">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 xml:space="preserve">Es destacable la excelente recepción que tuvo la emisión entre los inversores globales, habiéndose recibido órdenes por un monto de USD 533,38 millones, es decir, más de 3,5 veces el monto buscado. El Banco Municipal de Rosario actúo como Organizador de la Colocación, mientras que el Banco Santander se desempeñó como Estructurador y Colocador de la transacción. Fitch y Moody´s Latin America calificaron por primera vez al Municipio como emisor en escala global, habiendo obtenido la nota B3 y B respectivamente (igual calificación que el Gobierno Nacional). En tanto, Estructuras y Mandatos S.A. actuó como Asesor del Municipio. </w:t>
      </w:r>
    </w:p>
    <w:p w:rsidR="00BF58DA" w:rsidRDefault="00BF58DA" w:rsidP="002733B9">
      <w:pPr>
        <w:pStyle w:val="Textoindependiente"/>
        <w:rPr>
          <w:rFonts w:ascii="Cambria" w:hAnsi="Cambria" w:cs="Times New Roman"/>
          <w:b w:val="0"/>
          <w:bCs w:val="0"/>
          <w:color w:val="auto"/>
          <w:sz w:val="22"/>
          <w:lang w:val="es-AR"/>
        </w:rPr>
      </w:pPr>
    </w:p>
    <w:p w:rsidR="00BF58DA" w:rsidRPr="00BF58DA" w:rsidRDefault="00BF58DA" w:rsidP="002733B9">
      <w:pPr>
        <w:pStyle w:val="Textoindependiente"/>
        <w:rPr>
          <w:rFonts w:ascii="Cambria" w:hAnsi="Cambria" w:cs="Times New Roman"/>
          <w:b w:val="0"/>
          <w:bCs w:val="0"/>
          <w:color w:val="auto"/>
          <w:sz w:val="22"/>
          <w:lang w:val="es-AR"/>
        </w:rPr>
      </w:pPr>
    </w:p>
    <w:p w:rsidR="00393ED1" w:rsidRPr="00257514" w:rsidRDefault="00393ED1" w:rsidP="00257514">
      <w:pPr>
        <w:pStyle w:val="Ttulo2"/>
        <w:rPr>
          <w:rFonts w:ascii="Cambria" w:hAnsi="Cambria"/>
          <w:b/>
          <w:color w:val="auto"/>
          <w:szCs w:val="28"/>
          <w:lang w:val="es-AR"/>
        </w:rPr>
      </w:pPr>
      <w:r w:rsidRPr="0004144C">
        <w:rPr>
          <w:rFonts w:ascii="Cambria" w:hAnsi="Cambria"/>
          <w:b/>
          <w:color w:val="auto"/>
          <w:szCs w:val="28"/>
          <w:lang w:val="es-AR"/>
        </w:rPr>
        <w:t>Descripción del Emisor</w:t>
      </w:r>
    </w:p>
    <w:p w:rsidR="00393ED1" w:rsidRDefault="00393ED1" w:rsidP="00393ED1">
      <w:pPr>
        <w:pStyle w:val="Ttulo2"/>
        <w:rPr>
          <w:rFonts w:ascii="Cambria" w:hAnsi="Cambria"/>
          <w:b/>
          <w:color w:val="auto"/>
          <w:sz w:val="24"/>
          <w:szCs w:val="24"/>
          <w:lang w:val="es-AR"/>
        </w:rPr>
      </w:pPr>
      <w:r w:rsidRPr="0004144C">
        <w:rPr>
          <w:rFonts w:ascii="Cambria" w:hAnsi="Cambria"/>
          <w:b/>
          <w:color w:val="auto"/>
          <w:sz w:val="24"/>
          <w:szCs w:val="24"/>
          <w:lang w:val="es-AR"/>
        </w:rPr>
        <w:t>Municipalidad de la Ciudad de Córdoba</w:t>
      </w:r>
    </w:p>
    <w:p w:rsidR="0098238C" w:rsidRPr="00BF58DA" w:rsidRDefault="0098238C" w:rsidP="0098238C">
      <w:pPr>
        <w:rPr>
          <w:rFonts w:ascii="Cambria" w:hAnsi="Cambria"/>
        </w:rPr>
      </w:pPr>
    </w:p>
    <w:p w:rsidR="00393ED1" w:rsidRPr="00BF58DA" w:rsidRDefault="00393ED1" w:rsidP="0098238C">
      <w:pPr>
        <w:pStyle w:val="Textoindependiente"/>
        <w:rPr>
          <w:rFonts w:ascii="Cambria" w:hAnsi="Cambria" w:cs="Times New Roman"/>
          <w:bCs w:val="0"/>
          <w:color w:val="auto"/>
          <w:sz w:val="22"/>
          <w:lang w:val="es-AR"/>
        </w:rPr>
      </w:pPr>
      <w:r w:rsidRPr="00BF58DA">
        <w:rPr>
          <w:rFonts w:ascii="Cambria" w:hAnsi="Cambria" w:cs="Times New Roman"/>
          <w:bCs w:val="0"/>
          <w:color w:val="auto"/>
          <w:sz w:val="22"/>
          <w:lang w:val="es-AR"/>
        </w:rPr>
        <w:t xml:space="preserve">La siguiente descripción ha sido provista por la Municipalidad de la </w:t>
      </w:r>
      <w:r w:rsidR="00EA1BCA">
        <w:rPr>
          <w:rFonts w:ascii="Cambria" w:hAnsi="Cambria" w:cs="Times New Roman"/>
          <w:bCs w:val="0"/>
          <w:color w:val="auto"/>
          <w:sz w:val="22"/>
          <w:lang w:val="es-AR"/>
        </w:rPr>
        <w:t>Ciudad de Córdoba. La misma tiene el propósito</w:t>
      </w:r>
      <w:r w:rsidRPr="00BF58DA">
        <w:rPr>
          <w:rFonts w:ascii="Cambria" w:hAnsi="Cambria" w:cs="Times New Roman"/>
          <w:bCs w:val="0"/>
          <w:color w:val="auto"/>
          <w:sz w:val="22"/>
          <w:lang w:val="es-AR"/>
        </w:rPr>
        <w:t xml:space="preserve"> de información general.</w:t>
      </w:r>
    </w:p>
    <w:p w:rsidR="002733B9" w:rsidRPr="002733B9" w:rsidRDefault="002733B9" w:rsidP="0098238C">
      <w:pPr>
        <w:pStyle w:val="Textoindependiente"/>
        <w:rPr>
          <w:rFonts w:ascii="Trebuchet MS" w:hAnsi="Trebuchet MS" w:cs="Times New Roman"/>
          <w:bCs w:val="0"/>
          <w:color w:val="auto"/>
          <w:sz w:val="22"/>
        </w:rPr>
      </w:pPr>
    </w:p>
    <w:p w:rsidR="00B21AAD"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La sede del gobierno municipal se encuentra en Marcelo T. de Alvear 120, 1er. Piso, Departamento Ejecutivo (5000), Ciudad de Córdoba, Córdoba. Tel.: (0351) 4285605 - 4285606 - Conm. 4285600 int. 1</w:t>
      </w:r>
      <w:r w:rsidR="00C53C4F" w:rsidRPr="00BF58DA">
        <w:rPr>
          <w:rFonts w:ascii="Cambria" w:hAnsi="Cambria" w:cs="Times New Roman"/>
          <w:b w:val="0"/>
          <w:bCs w:val="0"/>
          <w:color w:val="auto"/>
          <w:sz w:val="22"/>
          <w:lang w:val="es-AR"/>
        </w:rPr>
        <w:t>2</w:t>
      </w:r>
      <w:r w:rsidRPr="00BF58DA">
        <w:rPr>
          <w:rFonts w:ascii="Cambria" w:hAnsi="Cambria" w:cs="Times New Roman"/>
          <w:b w:val="0"/>
          <w:bCs w:val="0"/>
          <w:color w:val="auto"/>
          <w:sz w:val="22"/>
          <w:lang w:val="es-AR"/>
        </w:rPr>
        <w:t>05 - 1</w:t>
      </w:r>
      <w:r w:rsidR="00C53C4F" w:rsidRPr="00BF58DA">
        <w:rPr>
          <w:rFonts w:ascii="Cambria" w:hAnsi="Cambria" w:cs="Times New Roman"/>
          <w:b w:val="0"/>
          <w:bCs w:val="0"/>
          <w:color w:val="auto"/>
          <w:sz w:val="22"/>
          <w:lang w:val="es-AR"/>
        </w:rPr>
        <w:t>2</w:t>
      </w:r>
      <w:r w:rsidRPr="00BF58DA">
        <w:rPr>
          <w:rFonts w:ascii="Cambria" w:hAnsi="Cambria" w:cs="Times New Roman"/>
          <w:b w:val="0"/>
          <w:bCs w:val="0"/>
          <w:color w:val="auto"/>
          <w:sz w:val="22"/>
          <w:lang w:val="es-AR"/>
        </w:rPr>
        <w:t xml:space="preserve">06 - Fax: 4341221. E-MAIL (Emisión de Letras de Tesorería): </w:t>
      </w:r>
      <w:hyperlink r:id="rId10" w:history="1">
        <w:r w:rsidR="0098238C" w:rsidRPr="00BF58DA">
          <w:rPr>
            <w:rFonts w:ascii="Cambria" w:hAnsi="Cambria" w:cs="Times New Roman"/>
            <w:b w:val="0"/>
            <w:bCs w:val="0"/>
            <w:color w:val="auto"/>
            <w:sz w:val="22"/>
            <w:lang w:val="es-AR"/>
          </w:rPr>
          <w:t>economia@cordoba.gov.ar</w:t>
        </w:r>
      </w:hyperlink>
      <w:r w:rsidRPr="00BF58DA">
        <w:rPr>
          <w:rFonts w:ascii="Cambria" w:hAnsi="Cambria" w:cs="Times New Roman"/>
          <w:b w:val="0"/>
          <w:bCs w:val="0"/>
          <w:color w:val="auto"/>
          <w:sz w:val="22"/>
          <w:lang w:val="es-AR"/>
        </w:rPr>
        <w:t xml:space="preserve">. </w:t>
      </w:r>
    </w:p>
    <w:p w:rsidR="00B21AAD" w:rsidRDefault="00B21AAD" w:rsidP="0098238C">
      <w:pPr>
        <w:pStyle w:val="Textoindependiente"/>
        <w:rPr>
          <w:rFonts w:ascii="Cambria" w:hAnsi="Cambria" w:cs="Times New Roman"/>
          <w:b w:val="0"/>
          <w:bCs w:val="0"/>
          <w:color w:val="auto"/>
          <w:sz w:val="22"/>
          <w:lang w:val="es-AR"/>
        </w:rPr>
      </w:pPr>
    </w:p>
    <w:p w:rsidR="00393ED1" w:rsidRPr="00BF58DA"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lastRenderedPageBreak/>
        <w:t xml:space="preserve">Página WEB: </w:t>
      </w:r>
      <w:hyperlink r:id="rId11" w:history="1">
        <w:r w:rsidRPr="00BF58DA">
          <w:rPr>
            <w:rFonts w:ascii="Cambria" w:hAnsi="Cambria" w:cs="Times New Roman"/>
            <w:b w:val="0"/>
            <w:bCs w:val="0"/>
            <w:color w:val="auto"/>
            <w:sz w:val="22"/>
            <w:lang w:val="es-AR"/>
          </w:rPr>
          <w:t>www.cordoba.gov.ar</w:t>
        </w:r>
      </w:hyperlink>
      <w:r w:rsidRPr="00BF58DA">
        <w:rPr>
          <w:rFonts w:ascii="Cambria" w:hAnsi="Cambria" w:cs="Times New Roman"/>
          <w:b w:val="0"/>
          <w:bCs w:val="0"/>
          <w:color w:val="auto"/>
          <w:sz w:val="22"/>
          <w:lang w:val="es-AR"/>
        </w:rPr>
        <w:t>.</w:t>
      </w:r>
    </w:p>
    <w:p w:rsidR="00B21AAD" w:rsidRDefault="00B21AAD" w:rsidP="0098238C">
      <w:pPr>
        <w:pStyle w:val="Textoindependiente"/>
        <w:rPr>
          <w:rFonts w:ascii="Cambria" w:hAnsi="Cambria" w:cs="Times New Roman"/>
          <w:b w:val="0"/>
          <w:bCs w:val="0"/>
          <w:color w:val="auto"/>
          <w:sz w:val="22"/>
          <w:lang w:val="es-AR"/>
        </w:rPr>
      </w:pPr>
    </w:p>
    <w:p w:rsidR="00393ED1" w:rsidRPr="00BF58DA"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 xml:space="preserve">Remontándonos a la historia, “Córdoba de las Provincias de la Nueva Andalucía” fue </w:t>
      </w:r>
      <w:proofErr w:type="gramStart"/>
      <w:r w:rsidRPr="00BF58DA">
        <w:rPr>
          <w:rFonts w:ascii="Cambria" w:hAnsi="Cambria" w:cs="Times New Roman"/>
          <w:b w:val="0"/>
          <w:bCs w:val="0"/>
          <w:color w:val="auto"/>
          <w:sz w:val="22"/>
          <w:lang w:val="es-AR"/>
        </w:rPr>
        <w:t>fundada</w:t>
      </w:r>
      <w:proofErr w:type="gramEnd"/>
      <w:r w:rsidRPr="00BF58DA">
        <w:rPr>
          <w:rFonts w:ascii="Cambria" w:hAnsi="Cambria" w:cs="Times New Roman"/>
          <w:b w:val="0"/>
          <w:bCs w:val="0"/>
          <w:color w:val="auto"/>
          <w:sz w:val="22"/>
          <w:lang w:val="es-AR"/>
        </w:rPr>
        <w:t xml:space="preserve"> por Don Jerónimo Luis de Cabrera el 6 de julio de 1573. La traza original tenía 70 cuadras (10 cuadras de largo y 7 cuadras de ancho) según la descripción del propio fundador. </w:t>
      </w:r>
    </w:p>
    <w:p w:rsidR="00393ED1" w:rsidRPr="00BF58DA"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Actualmente la Ciudad de Córdoba, capital de la Provincia homónima, es la segunda ciudad más poblada de Argentina, luego de la Ciudad de Buenos Aires</w:t>
      </w:r>
      <w:r w:rsidRPr="000847E5">
        <w:rPr>
          <w:rFonts w:ascii="Cambria" w:hAnsi="Cambria" w:cs="Times New Roman"/>
          <w:b w:val="0"/>
          <w:bCs w:val="0"/>
          <w:color w:val="auto"/>
          <w:sz w:val="22"/>
          <w:lang w:val="es-AR"/>
        </w:rPr>
        <w:t xml:space="preserve">. Con una población </w:t>
      </w:r>
      <w:r w:rsidR="00DE0E39" w:rsidRPr="000847E5">
        <w:rPr>
          <w:rFonts w:ascii="Cambria" w:hAnsi="Cambria" w:cs="Times New Roman"/>
          <w:b w:val="0"/>
          <w:bCs w:val="0"/>
          <w:color w:val="auto"/>
          <w:sz w:val="22"/>
          <w:lang w:val="es-AR"/>
        </w:rPr>
        <w:t xml:space="preserve">estimada </w:t>
      </w:r>
      <w:r w:rsidR="0041177E" w:rsidRPr="000847E5">
        <w:rPr>
          <w:rFonts w:ascii="Cambria" w:hAnsi="Cambria" w:cs="Times New Roman"/>
          <w:b w:val="0"/>
          <w:bCs w:val="0"/>
          <w:color w:val="auto"/>
          <w:sz w:val="22"/>
          <w:lang w:val="es-AR"/>
        </w:rPr>
        <w:t xml:space="preserve">2018 </w:t>
      </w:r>
      <w:r w:rsidRPr="000847E5">
        <w:rPr>
          <w:rFonts w:ascii="Cambria" w:hAnsi="Cambria" w:cs="Times New Roman"/>
          <w:b w:val="0"/>
          <w:bCs w:val="0"/>
          <w:color w:val="auto"/>
          <w:sz w:val="22"/>
          <w:lang w:val="es-AR"/>
        </w:rPr>
        <w:t xml:space="preserve">de </w:t>
      </w:r>
      <w:r w:rsidR="00DE0E39" w:rsidRPr="000847E5">
        <w:rPr>
          <w:rFonts w:ascii="Cambria" w:hAnsi="Cambria" w:cs="Times New Roman"/>
          <w:b w:val="0"/>
          <w:bCs w:val="0"/>
          <w:color w:val="auto"/>
          <w:sz w:val="22"/>
          <w:lang w:val="es-AR"/>
        </w:rPr>
        <w:t xml:space="preserve">1.438.492 </w:t>
      </w:r>
      <w:r w:rsidRPr="000847E5">
        <w:rPr>
          <w:rFonts w:ascii="Cambria" w:hAnsi="Cambria" w:cs="Times New Roman"/>
          <w:b w:val="0"/>
          <w:bCs w:val="0"/>
          <w:color w:val="auto"/>
          <w:sz w:val="22"/>
          <w:lang w:val="es-AR"/>
        </w:rPr>
        <w:t>se cons</w:t>
      </w:r>
      <w:r w:rsidRPr="00BF58DA">
        <w:rPr>
          <w:rFonts w:ascii="Cambria" w:hAnsi="Cambria" w:cs="Times New Roman"/>
          <w:b w:val="0"/>
          <w:bCs w:val="0"/>
          <w:color w:val="auto"/>
          <w:sz w:val="22"/>
          <w:lang w:val="es-AR"/>
        </w:rPr>
        <w:t>tituye como uno de los polos más importantes del país a nivel social, educativo y económico, ofreciendo una infraestructura física y una variedad de servicios muy importante para quienes deciden desarrollar sus actividades en ella.</w:t>
      </w:r>
    </w:p>
    <w:p w:rsidR="0098238C" w:rsidRPr="00BF58DA" w:rsidRDefault="0098238C" w:rsidP="0098238C">
      <w:pPr>
        <w:pStyle w:val="Textoindependiente"/>
        <w:rPr>
          <w:rFonts w:ascii="Cambria" w:hAnsi="Cambria" w:cs="Times New Roman"/>
          <w:b w:val="0"/>
          <w:bCs w:val="0"/>
          <w:color w:val="auto"/>
          <w:sz w:val="22"/>
          <w:lang w:val="es-AR"/>
        </w:rPr>
      </w:pPr>
    </w:p>
    <w:p w:rsidR="00393ED1" w:rsidRPr="00BF58DA" w:rsidRDefault="00393ED1" w:rsidP="0098238C">
      <w:pPr>
        <w:pStyle w:val="Textoindependiente"/>
        <w:rPr>
          <w:rFonts w:ascii="Cambria" w:hAnsi="Cambria" w:cs="Times New Roman"/>
          <w:bCs w:val="0"/>
          <w:color w:val="auto"/>
          <w:sz w:val="22"/>
          <w:u w:val="single"/>
          <w:lang w:val="es-AR"/>
        </w:rPr>
      </w:pPr>
      <w:r w:rsidRPr="00BF58DA">
        <w:rPr>
          <w:rFonts w:ascii="Cambria" w:hAnsi="Cambria" w:cs="Times New Roman"/>
          <w:bCs w:val="0"/>
          <w:color w:val="auto"/>
          <w:sz w:val="22"/>
          <w:u w:val="single"/>
          <w:lang w:val="es-AR"/>
        </w:rPr>
        <w:t>Datos Generales</w:t>
      </w:r>
    </w:p>
    <w:p w:rsidR="00393ED1" w:rsidRPr="00BF58DA"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 xml:space="preserve">La Ley Provincial Nº 1.295 del año </w:t>
      </w:r>
      <w:r w:rsidR="008229B0" w:rsidRPr="00BF58DA">
        <w:rPr>
          <w:rFonts w:ascii="Cambria" w:hAnsi="Cambria" w:cs="Times New Roman"/>
          <w:b w:val="0"/>
          <w:bCs w:val="0"/>
          <w:color w:val="auto"/>
          <w:sz w:val="22"/>
          <w:lang w:val="es-AR"/>
        </w:rPr>
        <w:t>XVIII</w:t>
      </w:r>
      <w:r w:rsidRPr="00BF58DA">
        <w:rPr>
          <w:rFonts w:ascii="Cambria" w:hAnsi="Cambria" w:cs="Times New Roman"/>
          <w:b w:val="0"/>
          <w:bCs w:val="0"/>
          <w:color w:val="auto"/>
          <w:sz w:val="22"/>
          <w:lang w:val="es-AR"/>
        </w:rPr>
        <w:t>93 junto con los Decretos Municipales Nº 6.548 del 27 de enero y Nº 7.102 del 14 de setiembre, ambos del año 1938, establecen que el Ejido Municipal de Córdoba queda delimitado por un cuadrado de 24 Km., el cual corresponde al Departamento Capital de la provincia. La ciudad, que limita al norte y este con el departamento Colón y al sur y oeste con el departamento Santa María, conforma un área metropolitana que verifica en los últimos años una marcada expansión.</w:t>
      </w:r>
    </w:p>
    <w:p w:rsidR="00393ED1" w:rsidRPr="000847E5"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El Río Suquía</w:t>
      </w:r>
      <w:bookmarkStart w:id="0" w:name="_GoBack"/>
      <w:bookmarkEnd w:id="0"/>
      <w:r w:rsidRPr="00BF58DA">
        <w:rPr>
          <w:rFonts w:ascii="Cambria" w:hAnsi="Cambria" w:cs="Times New Roman"/>
          <w:b w:val="0"/>
          <w:bCs w:val="0"/>
          <w:color w:val="auto"/>
          <w:sz w:val="22"/>
          <w:lang w:val="es-AR"/>
        </w:rPr>
        <w:t xml:space="preserve"> atraviesa a la ciudad de Córdoba, histórica y físicamente. Desde la misma fundación, es </w:t>
      </w:r>
      <w:r w:rsidRPr="000847E5">
        <w:rPr>
          <w:rFonts w:ascii="Cambria" w:hAnsi="Cambria" w:cs="Times New Roman"/>
          <w:b w:val="0"/>
          <w:bCs w:val="0"/>
          <w:color w:val="auto"/>
          <w:sz w:val="22"/>
          <w:lang w:val="es-AR"/>
        </w:rPr>
        <w:t>uno de los recursos naturales más importantes que ha tenido la ciudad.</w:t>
      </w:r>
    </w:p>
    <w:p w:rsidR="00393ED1" w:rsidRPr="000847E5" w:rsidRDefault="00393ED1" w:rsidP="0098238C">
      <w:pPr>
        <w:pStyle w:val="Textoindependiente"/>
        <w:rPr>
          <w:rFonts w:ascii="Cambria" w:hAnsi="Cambria" w:cs="Times New Roman"/>
          <w:b w:val="0"/>
          <w:bCs w:val="0"/>
          <w:color w:val="auto"/>
          <w:sz w:val="22"/>
          <w:lang w:val="es-AR"/>
        </w:rPr>
      </w:pPr>
      <w:r w:rsidRPr="000847E5">
        <w:rPr>
          <w:rFonts w:ascii="Cambria" w:hAnsi="Cambria" w:cs="Times New Roman"/>
          <w:b w:val="0"/>
          <w:bCs w:val="0"/>
          <w:color w:val="auto"/>
          <w:sz w:val="22"/>
          <w:lang w:val="es-AR"/>
        </w:rPr>
        <w:t>El ejido municipal abarca 576 km</w:t>
      </w:r>
      <w:r w:rsidRPr="000847E5">
        <w:rPr>
          <w:rFonts w:ascii="Cambria" w:hAnsi="Cambria" w:cs="Times New Roman"/>
          <w:b w:val="0"/>
          <w:bCs w:val="0"/>
          <w:color w:val="auto"/>
          <w:sz w:val="22"/>
          <w:vertAlign w:val="superscript"/>
          <w:lang w:val="es-AR"/>
        </w:rPr>
        <w:t>2</w:t>
      </w:r>
      <w:r w:rsidRPr="000847E5">
        <w:rPr>
          <w:rFonts w:ascii="Cambria" w:hAnsi="Cambria" w:cs="Times New Roman"/>
          <w:b w:val="0"/>
          <w:bCs w:val="0"/>
          <w:color w:val="auto"/>
          <w:sz w:val="22"/>
          <w:lang w:val="es-AR"/>
        </w:rPr>
        <w:t xml:space="preserve"> de los cuales el 48% es urbanizable,</w:t>
      </w:r>
      <w:r w:rsidR="00023791" w:rsidRPr="000847E5">
        <w:rPr>
          <w:rFonts w:ascii="Cambria" w:hAnsi="Cambria" w:cs="Times New Roman"/>
          <w:b w:val="0"/>
          <w:bCs w:val="0"/>
          <w:color w:val="auto"/>
          <w:sz w:val="22"/>
          <w:lang w:val="es-AR"/>
        </w:rPr>
        <w:t xml:space="preserve"> mientras que el territorio restante tiene caracterís</w:t>
      </w:r>
      <w:r w:rsidRPr="000847E5">
        <w:rPr>
          <w:rFonts w:ascii="Cambria" w:hAnsi="Cambria" w:cs="Times New Roman"/>
          <w:b w:val="0"/>
          <w:bCs w:val="0"/>
          <w:color w:val="auto"/>
          <w:sz w:val="22"/>
          <w:lang w:val="es-AR"/>
        </w:rPr>
        <w:t xml:space="preserve">ticas industriales </w:t>
      </w:r>
      <w:r w:rsidR="00023791" w:rsidRPr="000847E5">
        <w:rPr>
          <w:rFonts w:ascii="Cambria" w:hAnsi="Cambria" w:cs="Times New Roman"/>
          <w:b w:val="0"/>
          <w:bCs w:val="0"/>
          <w:color w:val="auto"/>
          <w:sz w:val="22"/>
          <w:lang w:val="es-AR"/>
        </w:rPr>
        <w:t>o</w:t>
      </w:r>
      <w:r w:rsidRPr="000847E5">
        <w:rPr>
          <w:rFonts w:ascii="Cambria" w:hAnsi="Cambria" w:cs="Times New Roman"/>
          <w:b w:val="0"/>
          <w:bCs w:val="0"/>
          <w:color w:val="auto"/>
          <w:sz w:val="22"/>
          <w:lang w:val="es-AR"/>
        </w:rPr>
        <w:t xml:space="preserve"> rural</w:t>
      </w:r>
      <w:r w:rsidR="00023791" w:rsidRPr="000847E5">
        <w:rPr>
          <w:rFonts w:ascii="Cambria" w:hAnsi="Cambria" w:cs="Times New Roman"/>
          <w:b w:val="0"/>
          <w:bCs w:val="0"/>
          <w:color w:val="auto"/>
          <w:sz w:val="22"/>
          <w:lang w:val="es-AR"/>
        </w:rPr>
        <w:t>es</w:t>
      </w:r>
      <w:r w:rsidRPr="000847E5">
        <w:rPr>
          <w:rFonts w:ascii="Cambria" w:hAnsi="Cambria" w:cs="Times New Roman"/>
          <w:b w:val="0"/>
          <w:bCs w:val="0"/>
          <w:color w:val="auto"/>
          <w:sz w:val="22"/>
          <w:lang w:val="es-AR"/>
        </w:rPr>
        <w:t xml:space="preserve">. </w:t>
      </w:r>
      <w:r w:rsidR="00023791" w:rsidRPr="000847E5">
        <w:rPr>
          <w:rFonts w:ascii="Cambria" w:hAnsi="Cambria" w:cs="Times New Roman"/>
          <w:b w:val="0"/>
          <w:bCs w:val="0"/>
          <w:color w:val="auto"/>
          <w:sz w:val="22"/>
          <w:lang w:val="es-AR"/>
        </w:rPr>
        <w:t>De los 277,6km</w:t>
      </w:r>
      <w:r w:rsidR="00023791" w:rsidRPr="000847E5">
        <w:rPr>
          <w:rFonts w:ascii="Cambria" w:hAnsi="Cambria" w:cs="Times New Roman"/>
          <w:b w:val="0"/>
          <w:bCs w:val="0"/>
          <w:color w:val="auto"/>
          <w:sz w:val="22"/>
          <w:vertAlign w:val="superscript"/>
          <w:lang w:val="es-AR"/>
        </w:rPr>
        <w:t>2</w:t>
      </w:r>
      <w:r w:rsidRPr="000847E5">
        <w:rPr>
          <w:rFonts w:ascii="Cambria" w:hAnsi="Cambria" w:cs="Times New Roman"/>
          <w:b w:val="0"/>
          <w:bCs w:val="0"/>
          <w:color w:val="auto"/>
          <w:sz w:val="22"/>
          <w:lang w:val="es-AR"/>
        </w:rPr>
        <w:t xml:space="preserve"> </w:t>
      </w:r>
      <w:r w:rsidR="00023791" w:rsidRPr="000847E5">
        <w:rPr>
          <w:rFonts w:ascii="Cambria" w:hAnsi="Cambria" w:cs="Times New Roman"/>
          <w:b w:val="0"/>
          <w:bCs w:val="0"/>
          <w:color w:val="auto"/>
          <w:sz w:val="22"/>
          <w:lang w:val="es-AR"/>
        </w:rPr>
        <w:t>urbanizables, 74,2km</w:t>
      </w:r>
      <w:r w:rsidR="00023791" w:rsidRPr="000847E5">
        <w:rPr>
          <w:rFonts w:ascii="Cambria" w:hAnsi="Cambria" w:cs="Times New Roman"/>
          <w:b w:val="0"/>
          <w:bCs w:val="0"/>
          <w:color w:val="auto"/>
          <w:sz w:val="22"/>
          <w:vertAlign w:val="superscript"/>
          <w:lang w:val="es-AR"/>
        </w:rPr>
        <w:t xml:space="preserve">2 </w:t>
      </w:r>
      <w:r w:rsidR="00023791" w:rsidRPr="000847E5">
        <w:rPr>
          <w:rFonts w:ascii="Cambria" w:hAnsi="Cambria" w:cs="Times New Roman"/>
          <w:b w:val="0"/>
          <w:bCs w:val="0"/>
          <w:color w:val="auto"/>
          <w:sz w:val="22"/>
          <w:lang w:val="es-AR"/>
        </w:rPr>
        <w:t>se encuentran edificados (</w:t>
      </w:r>
      <w:r w:rsidRPr="000847E5">
        <w:rPr>
          <w:rFonts w:ascii="Cambria" w:hAnsi="Cambria" w:cs="Times New Roman"/>
          <w:b w:val="0"/>
          <w:bCs w:val="0"/>
          <w:color w:val="auto"/>
          <w:sz w:val="22"/>
          <w:lang w:val="es-AR"/>
        </w:rPr>
        <w:t>48</w:t>
      </w:r>
      <w:r w:rsidR="00023791" w:rsidRPr="000847E5">
        <w:rPr>
          <w:rFonts w:ascii="Cambria" w:hAnsi="Cambria" w:cs="Times New Roman"/>
          <w:b w:val="0"/>
          <w:bCs w:val="0"/>
          <w:color w:val="auto"/>
          <w:sz w:val="22"/>
          <w:lang w:val="es-AR"/>
        </w:rPr>
        <w:t>5.417</w:t>
      </w:r>
      <w:r w:rsidRPr="000847E5">
        <w:rPr>
          <w:rFonts w:ascii="Cambria" w:hAnsi="Cambria" w:cs="Times New Roman"/>
          <w:b w:val="0"/>
          <w:bCs w:val="0"/>
          <w:color w:val="auto"/>
          <w:sz w:val="22"/>
          <w:lang w:val="es-AR"/>
        </w:rPr>
        <w:t xml:space="preserve"> inmuebles</w:t>
      </w:r>
      <w:r w:rsidR="00023791" w:rsidRPr="000847E5">
        <w:rPr>
          <w:rFonts w:ascii="Cambria" w:hAnsi="Cambria" w:cs="Times New Roman"/>
          <w:b w:val="0"/>
          <w:bCs w:val="0"/>
          <w:color w:val="auto"/>
          <w:sz w:val="22"/>
          <w:lang w:val="es-AR"/>
        </w:rPr>
        <w:t>) y 203,4 km</w:t>
      </w:r>
      <w:r w:rsidR="00023791" w:rsidRPr="000847E5">
        <w:rPr>
          <w:rFonts w:ascii="Cambria" w:hAnsi="Cambria" w:cs="Times New Roman"/>
          <w:b w:val="0"/>
          <w:bCs w:val="0"/>
          <w:color w:val="auto"/>
          <w:sz w:val="22"/>
          <w:vertAlign w:val="superscript"/>
          <w:lang w:val="es-AR"/>
        </w:rPr>
        <w:t>2</w:t>
      </w:r>
      <w:r w:rsidR="00023791" w:rsidRPr="000847E5">
        <w:rPr>
          <w:rFonts w:ascii="Cambria" w:hAnsi="Cambria" w:cs="Times New Roman"/>
          <w:b w:val="0"/>
          <w:bCs w:val="0"/>
          <w:color w:val="auto"/>
          <w:sz w:val="22"/>
          <w:lang w:val="es-AR"/>
        </w:rPr>
        <w:t xml:space="preserve"> corresponden a</w:t>
      </w:r>
      <w:r w:rsidRPr="000847E5">
        <w:rPr>
          <w:rFonts w:ascii="Cambria" w:hAnsi="Cambria" w:cs="Times New Roman"/>
          <w:b w:val="0"/>
          <w:bCs w:val="0"/>
          <w:color w:val="auto"/>
          <w:sz w:val="22"/>
          <w:lang w:val="es-AR"/>
        </w:rPr>
        <w:t xml:space="preserve"> baldíos.</w:t>
      </w:r>
    </w:p>
    <w:p w:rsidR="00393ED1" w:rsidRPr="00BF58DA" w:rsidRDefault="00393ED1" w:rsidP="0098238C">
      <w:pPr>
        <w:pStyle w:val="Textoindependiente"/>
        <w:rPr>
          <w:rFonts w:ascii="Cambria" w:hAnsi="Cambria" w:cs="Times New Roman"/>
          <w:b w:val="0"/>
          <w:bCs w:val="0"/>
          <w:color w:val="auto"/>
          <w:sz w:val="22"/>
          <w:lang w:val="es-AR"/>
        </w:rPr>
      </w:pPr>
      <w:r w:rsidRPr="000847E5">
        <w:rPr>
          <w:rFonts w:ascii="Cambria" w:hAnsi="Cambria" w:cs="Times New Roman"/>
          <w:b w:val="0"/>
          <w:bCs w:val="0"/>
          <w:color w:val="auto"/>
          <w:sz w:val="22"/>
          <w:lang w:val="es-AR"/>
        </w:rPr>
        <w:t>Existen 1.3</w:t>
      </w:r>
      <w:r w:rsidR="00023791" w:rsidRPr="000847E5">
        <w:rPr>
          <w:rFonts w:ascii="Cambria" w:hAnsi="Cambria" w:cs="Times New Roman"/>
          <w:b w:val="0"/>
          <w:bCs w:val="0"/>
          <w:color w:val="auto"/>
          <w:sz w:val="22"/>
          <w:lang w:val="es-AR"/>
        </w:rPr>
        <w:t>42</w:t>
      </w:r>
      <w:r w:rsidRPr="000847E5">
        <w:rPr>
          <w:rFonts w:ascii="Cambria" w:hAnsi="Cambria" w:cs="Times New Roman"/>
          <w:b w:val="0"/>
          <w:bCs w:val="0"/>
          <w:color w:val="auto"/>
          <w:sz w:val="22"/>
          <w:lang w:val="es-AR"/>
        </w:rPr>
        <w:t xml:space="preserve"> espacios verdes urbanos, conformados por parques, plazas, plazoletas y paseos, que abarcan </w:t>
      </w:r>
      <w:r w:rsidR="00023791" w:rsidRPr="000847E5">
        <w:rPr>
          <w:rFonts w:ascii="Cambria" w:hAnsi="Cambria" w:cs="Times New Roman"/>
          <w:b w:val="0"/>
          <w:bCs w:val="0"/>
          <w:color w:val="auto"/>
          <w:sz w:val="22"/>
          <w:lang w:val="es-AR"/>
        </w:rPr>
        <w:t>996</w:t>
      </w:r>
      <w:r w:rsidRPr="000847E5">
        <w:rPr>
          <w:rFonts w:ascii="Cambria" w:hAnsi="Cambria" w:cs="Times New Roman"/>
          <w:b w:val="0"/>
          <w:bCs w:val="0"/>
          <w:color w:val="auto"/>
          <w:sz w:val="22"/>
          <w:lang w:val="es-AR"/>
        </w:rPr>
        <w:t xml:space="preserve"> hectáreas.</w:t>
      </w:r>
    </w:p>
    <w:p w:rsidR="007A6500" w:rsidRPr="00BF58DA" w:rsidRDefault="007A6500" w:rsidP="0098238C">
      <w:pPr>
        <w:pStyle w:val="Textoindependiente"/>
        <w:rPr>
          <w:rFonts w:ascii="Cambria" w:hAnsi="Cambria" w:cs="Times New Roman"/>
          <w:b w:val="0"/>
          <w:bCs w:val="0"/>
          <w:color w:val="auto"/>
          <w:sz w:val="22"/>
          <w:lang w:val="es-AR"/>
        </w:rPr>
      </w:pPr>
    </w:p>
    <w:p w:rsidR="00393ED1" w:rsidRPr="00BF58DA" w:rsidRDefault="00393ED1" w:rsidP="0098238C">
      <w:pPr>
        <w:pStyle w:val="Textoindependiente"/>
        <w:rPr>
          <w:rFonts w:ascii="Cambria" w:hAnsi="Cambria" w:cs="Times New Roman"/>
          <w:bCs w:val="0"/>
          <w:color w:val="auto"/>
          <w:sz w:val="22"/>
          <w:u w:val="single"/>
          <w:lang w:val="es-AR"/>
        </w:rPr>
      </w:pPr>
      <w:r w:rsidRPr="00BF58DA">
        <w:rPr>
          <w:rFonts w:ascii="Cambria" w:hAnsi="Cambria" w:cs="Times New Roman"/>
          <w:bCs w:val="0"/>
          <w:color w:val="auto"/>
          <w:sz w:val="22"/>
          <w:u w:val="single"/>
          <w:lang w:val="es-AR"/>
        </w:rPr>
        <w:t>Educación</w:t>
      </w:r>
    </w:p>
    <w:p w:rsidR="00393ED1" w:rsidRPr="000847E5"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 xml:space="preserve">Córdoba es un destacado centro de actividad educativa, cultural y social. Su Universidad Nacional es la primera en fundarse en Argentina a la vez que cuenta con otras casas de estudios universitarios receptando una buena proporción de la demanda educativa del centro y norte del país. Numerosos estudiantes y profesores extranjeros llegan en busca de perfeccionamiento y posibilidades de </w:t>
      </w:r>
      <w:r w:rsidRPr="000847E5">
        <w:rPr>
          <w:rFonts w:ascii="Cambria" w:hAnsi="Cambria" w:cs="Times New Roman"/>
          <w:b w:val="0"/>
          <w:bCs w:val="0"/>
          <w:color w:val="auto"/>
          <w:sz w:val="22"/>
          <w:lang w:val="es-AR"/>
        </w:rPr>
        <w:t>investigación.</w:t>
      </w:r>
    </w:p>
    <w:p w:rsidR="00393ED1" w:rsidRPr="00BF58DA" w:rsidRDefault="0015323F" w:rsidP="0098238C">
      <w:pPr>
        <w:pStyle w:val="Textoindependiente"/>
        <w:rPr>
          <w:rFonts w:ascii="Cambria" w:hAnsi="Cambria" w:cs="Times New Roman"/>
          <w:b w:val="0"/>
          <w:bCs w:val="0"/>
          <w:color w:val="auto"/>
          <w:sz w:val="22"/>
          <w:lang w:val="es-AR"/>
        </w:rPr>
      </w:pPr>
      <w:r w:rsidRPr="000847E5">
        <w:rPr>
          <w:rFonts w:ascii="Cambria" w:hAnsi="Cambria" w:cs="Times New Roman"/>
          <w:b w:val="0"/>
          <w:bCs w:val="0"/>
          <w:color w:val="auto"/>
          <w:sz w:val="22"/>
          <w:lang w:val="es-AR"/>
        </w:rPr>
        <w:t>Según datos del Censo Nacional de poblaci</w:t>
      </w:r>
      <w:r w:rsidR="00250D21">
        <w:rPr>
          <w:rFonts w:ascii="Cambria" w:hAnsi="Cambria" w:cs="Times New Roman"/>
          <w:b w:val="0"/>
          <w:bCs w:val="0"/>
          <w:color w:val="auto"/>
          <w:sz w:val="22"/>
          <w:lang w:val="es-AR"/>
        </w:rPr>
        <w:t>ón, hogares y viviendas 2010 el</w:t>
      </w:r>
      <w:r w:rsidR="00393ED1" w:rsidRPr="000847E5">
        <w:rPr>
          <w:rFonts w:ascii="Cambria" w:hAnsi="Cambria" w:cs="Times New Roman"/>
          <w:b w:val="0"/>
          <w:bCs w:val="0"/>
          <w:color w:val="auto"/>
          <w:sz w:val="22"/>
          <w:lang w:val="es-AR"/>
        </w:rPr>
        <w:t xml:space="preserve"> </w:t>
      </w:r>
      <w:r w:rsidRPr="000847E5">
        <w:rPr>
          <w:rFonts w:ascii="Cambria" w:hAnsi="Cambria" w:cs="Times New Roman"/>
          <w:b w:val="0"/>
          <w:bCs w:val="0"/>
          <w:color w:val="auto"/>
          <w:sz w:val="22"/>
          <w:lang w:val="es-AR"/>
        </w:rPr>
        <w:t>61</w:t>
      </w:r>
      <w:r w:rsidR="00393ED1" w:rsidRPr="000847E5">
        <w:rPr>
          <w:rFonts w:ascii="Cambria" w:hAnsi="Cambria" w:cs="Times New Roman"/>
          <w:b w:val="0"/>
          <w:bCs w:val="0"/>
          <w:color w:val="auto"/>
          <w:sz w:val="22"/>
          <w:lang w:val="es-AR"/>
        </w:rPr>
        <w:t>% de la población posee un nivel educativo secundario o superior. Actualmente, la Ciudad de Córdoba, denominada “La Docta”, posee 7 universidades que educan a aproximadamente 1</w:t>
      </w:r>
      <w:r w:rsidRPr="000847E5">
        <w:rPr>
          <w:rFonts w:ascii="Cambria" w:hAnsi="Cambria" w:cs="Times New Roman"/>
          <w:b w:val="0"/>
          <w:bCs w:val="0"/>
          <w:color w:val="auto"/>
          <w:sz w:val="22"/>
          <w:lang w:val="es-AR"/>
        </w:rPr>
        <w:t>70</w:t>
      </w:r>
      <w:r w:rsidR="00393ED1" w:rsidRPr="000847E5">
        <w:rPr>
          <w:rFonts w:ascii="Cambria" w:hAnsi="Cambria" w:cs="Times New Roman"/>
          <w:b w:val="0"/>
          <w:bCs w:val="0"/>
          <w:color w:val="auto"/>
          <w:sz w:val="22"/>
          <w:lang w:val="es-AR"/>
        </w:rPr>
        <w:t>.</w:t>
      </w:r>
      <w:r w:rsidRPr="000847E5">
        <w:rPr>
          <w:rFonts w:ascii="Cambria" w:hAnsi="Cambria" w:cs="Times New Roman"/>
          <w:b w:val="0"/>
          <w:bCs w:val="0"/>
          <w:color w:val="auto"/>
          <w:sz w:val="22"/>
          <w:lang w:val="es-AR"/>
        </w:rPr>
        <w:t>000</w:t>
      </w:r>
      <w:r w:rsidR="00393ED1" w:rsidRPr="000847E5">
        <w:rPr>
          <w:rFonts w:ascii="Cambria" w:hAnsi="Cambria" w:cs="Times New Roman"/>
          <w:b w:val="0"/>
          <w:bCs w:val="0"/>
          <w:color w:val="auto"/>
          <w:sz w:val="22"/>
          <w:lang w:val="es-AR"/>
        </w:rPr>
        <w:t xml:space="preserve"> estudiantes en más de 430 carreras de grado y de posgrado.</w:t>
      </w:r>
    </w:p>
    <w:p w:rsidR="0098238C" w:rsidRPr="00BF58DA" w:rsidRDefault="0098238C" w:rsidP="0098238C">
      <w:pPr>
        <w:pStyle w:val="Textoindependiente"/>
        <w:rPr>
          <w:rFonts w:ascii="Cambria" w:hAnsi="Cambria" w:cs="Times New Roman"/>
          <w:b w:val="0"/>
          <w:bCs w:val="0"/>
          <w:color w:val="auto"/>
          <w:sz w:val="22"/>
          <w:lang w:val="es-AR"/>
        </w:rPr>
      </w:pPr>
    </w:p>
    <w:p w:rsidR="00393ED1" w:rsidRPr="00BF58DA" w:rsidRDefault="00393ED1" w:rsidP="0098238C">
      <w:pPr>
        <w:pStyle w:val="Textoindependiente"/>
        <w:rPr>
          <w:rFonts w:ascii="Cambria" w:hAnsi="Cambria" w:cs="Times New Roman"/>
          <w:bCs w:val="0"/>
          <w:color w:val="auto"/>
          <w:sz w:val="22"/>
          <w:u w:val="single"/>
          <w:lang w:val="es-AR"/>
        </w:rPr>
      </w:pPr>
      <w:r w:rsidRPr="00BF58DA">
        <w:rPr>
          <w:rFonts w:ascii="Cambria" w:hAnsi="Cambria" w:cs="Times New Roman"/>
          <w:bCs w:val="0"/>
          <w:color w:val="auto"/>
          <w:sz w:val="22"/>
          <w:u w:val="single"/>
          <w:lang w:val="es-AR"/>
        </w:rPr>
        <w:t>Turismo</w:t>
      </w:r>
    </w:p>
    <w:p w:rsidR="00393ED1" w:rsidRPr="000847E5"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 xml:space="preserve">La ciudad de Córdoba presenta una agitada vida turística que no se acaba en la belleza natural de sus serranías vecinas, sino que dentro de la misma traza urbana contiene valores que ameritan </w:t>
      </w:r>
      <w:r w:rsidRPr="007D00DA">
        <w:rPr>
          <w:rFonts w:ascii="Cambria" w:hAnsi="Cambria" w:cs="Times New Roman"/>
          <w:b w:val="0"/>
          <w:bCs w:val="0"/>
          <w:color w:val="auto"/>
          <w:sz w:val="22"/>
          <w:lang w:val="es-AR"/>
        </w:rPr>
        <w:t xml:space="preserve">detenimiento, como su Manzana Jesuítica que forma parte del Patrimonio Cultural de la Humanidad </w:t>
      </w:r>
      <w:r w:rsidRPr="000847E5">
        <w:rPr>
          <w:rFonts w:ascii="Cambria" w:hAnsi="Cambria" w:cs="Times New Roman"/>
          <w:b w:val="0"/>
          <w:bCs w:val="0"/>
          <w:color w:val="auto"/>
          <w:sz w:val="22"/>
          <w:lang w:val="es-AR"/>
        </w:rPr>
        <w:t>UNESCO.</w:t>
      </w:r>
    </w:p>
    <w:p w:rsidR="00393ED1" w:rsidRPr="00BF58DA" w:rsidRDefault="00393ED1" w:rsidP="0098238C">
      <w:pPr>
        <w:pStyle w:val="Textoindependiente"/>
        <w:rPr>
          <w:rFonts w:ascii="Cambria" w:hAnsi="Cambria" w:cs="Times New Roman"/>
          <w:b w:val="0"/>
          <w:bCs w:val="0"/>
          <w:color w:val="auto"/>
          <w:sz w:val="22"/>
          <w:lang w:val="es-AR"/>
        </w:rPr>
      </w:pPr>
      <w:r w:rsidRPr="000847E5">
        <w:rPr>
          <w:rFonts w:ascii="Cambria" w:hAnsi="Cambria" w:cs="Times New Roman"/>
          <w:b w:val="0"/>
          <w:bCs w:val="0"/>
          <w:color w:val="auto"/>
          <w:sz w:val="22"/>
          <w:lang w:val="es-AR"/>
        </w:rPr>
        <w:t xml:space="preserve">La Ciudad de Córdoba posee </w:t>
      </w:r>
      <w:r w:rsidR="007D00DA" w:rsidRPr="000847E5">
        <w:rPr>
          <w:rFonts w:ascii="Cambria" w:hAnsi="Cambria" w:cs="Times New Roman"/>
          <w:b w:val="0"/>
          <w:bCs w:val="0"/>
          <w:color w:val="auto"/>
          <w:sz w:val="22"/>
          <w:lang w:val="es-AR"/>
        </w:rPr>
        <w:t xml:space="preserve">un aeropuerto internacional y </w:t>
      </w:r>
      <w:r w:rsidRPr="000847E5">
        <w:rPr>
          <w:rFonts w:ascii="Cambria" w:hAnsi="Cambria" w:cs="Times New Roman"/>
          <w:b w:val="0"/>
          <w:bCs w:val="0"/>
          <w:color w:val="auto"/>
          <w:sz w:val="22"/>
          <w:lang w:val="es-AR"/>
        </w:rPr>
        <w:t>una terminal de por donde diariamente circulan cerca de 3.200 ómnibus pertenecientes a 59 empresas de corta, media y larga distancia</w:t>
      </w:r>
      <w:r w:rsidR="007D00DA" w:rsidRPr="000847E5">
        <w:rPr>
          <w:rFonts w:ascii="Cambria" w:hAnsi="Cambria" w:cs="Times New Roman"/>
          <w:b w:val="0"/>
          <w:bCs w:val="0"/>
          <w:color w:val="auto"/>
          <w:sz w:val="22"/>
          <w:lang w:val="es-AR"/>
        </w:rPr>
        <w:t xml:space="preserve">. En 2017 1.331.924 turistas arribaron a la ciudad de Córdoba, de los cuales el 17% es de origen </w:t>
      </w:r>
      <w:r w:rsidR="007D00DA" w:rsidRPr="000847E5">
        <w:rPr>
          <w:rFonts w:ascii="Cambria" w:hAnsi="Cambria" w:cs="Times New Roman"/>
          <w:b w:val="0"/>
          <w:bCs w:val="0"/>
          <w:color w:val="auto"/>
          <w:sz w:val="22"/>
          <w:lang w:val="es-AR"/>
        </w:rPr>
        <w:lastRenderedPageBreak/>
        <w:t>extranjero y el 83% de origen nacional.</w:t>
      </w:r>
      <w:r w:rsidRPr="000847E5">
        <w:rPr>
          <w:rFonts w:ascii="Cambria" w:hAnsi="Cambria" w:cs="Times New Roman"/>
          <w:b w:val="0"/>
          <w:bCs w:val="0"/>
          <w:color w:val="auto"/>
          <w:sz w:val="22"/>
          <w:lang w:val="es-AR"/>
        </w:rPr>
        <w:t xml:space="preserve"> </w:t>
      </w:r>
      <w:r w:rsidR="007D00DA" w:rsidRPr="000847E5">
        <w:rPr>
          <w:rFonts w:ascii="Cambria" w:hAnsi="Cambria" w:cs="Times New Roman"/>
          <w:b w:val="0"/>
          <w:bCs w:val="0"/>
          <w:color w:val="auto"/>
          <w:sz w:val="22"/>
          <w:lang w:val="es-AR"/>
        </w:rPr>
        <w:t xml:space="preserve">La ciudad cuenta con 171 alojamientos de diferentes tipologías con capacidad para albergar a 12.946 personas. </w:t>
      </w:r>
      <w:r w:rsidR="0036670F" w:rsidRPr="000847E5">
        <w:rPr>
          <w:rFonts w:ascii="Cambria" w:hAnsi="Cambria" w:cs="Times New Roman"/>
          <w:b w:val="0"/>
          <w:bCs w:val="0"/>
          <w:color w:val="auto"/>
          <w:sz w:val="22"/>
          <w:lang w:val="es-AR"/>
        </w:rPr>
        <w:t>Además,</w:t>
      </w:r>
      <w:r w:rsidR="007D00DA" w:rsidRPr="000847E5">
        <w:rPr>
          <w:rFonts w:ascii="Cambria" w:hAnsi="Cambria" w:cs="Times New Roman"/>
          <w:b w:val="0"/>
          <w:bCs w:val="0"/>
          <w:color w:val="auto"/>
          <w:sz w:val="22"/>
          <w:lang w:val="es-AR"/>
        </w:rPr>
        <w:t xml:space="preserve"> cuenta con </w:t>
      </w:r>
      <w:r w:rsidRPr="000847E5">
        <w:rPr>
          <w:rFonts w:ascii="Cambria" w:hAnsi="Cambria" w:cs="Times New Roman"/>
          <w:b w:val="0"/>
          <w:bCs w:val="0"/>
          <w:color w:val="auto"/>
          <w:sz w:val="22"/>
          <w:lang w:val="es-AR"/>
        </w:rPr>
        <w:t>4 predios feriales y 44 salones de reuniones.</w:t>
      </w:r>
    </w:p>
    <w:p w:rsidR="0098238C" w:rsidRPr="00BF58DA" w:rsidRDefault="0098238C" w:rsidP="0098238C">
      <w:pPr>
        <w:pStyle w:val="Textoindependiente"/>
        <w:rPr>
          <w:rFonts w:ascii="Cambria" w:hAnsi="Cambria" w:cs="Times New Roman"/>
          <w:b w:val="0"/>
          <w:bCs w:val="0"/>
          <w:color w:val="auto"/>
          <w:sz w:val="22"/>
          <w:lang w:val="es-AR"/>
        </w:rPr>
      </w:pPr>
    </w:p>
    <w:p w:rsidR="00393ED1" w:rsidRPr="00BF58DA" w:rsidRDefault="00393ED1" w:rsidP="0098238C">
      <w:pPr>
        <w:pStyle w:val="Textoindependiente"/>
        <w:rPr>
          <w:rFonts w:ascii="Cambria" w:hAnsi="Cambria" w:cs="Times New Roman"/>
          <w:bCs w:val="0"/>
          <w:color w:val="auto"/>
          <w:sz w:val="22"/>
          <w:u w:val="single"/>
          <w:lang w:val="es-AR"/>
        </w:rPr>
      </w:pPr>
      <w:r w:rsidRPr="00BF58DA">
        <w:rPr>
          <w:rFonts w:ascii="Cambria" w:hAnsi="Cambria" w:cs="Times New Roman"/>
          <w:bCs w:val="0"/>
          <w:color w:val="auto"/>
          <w:sz w:val="22"/>
          <w:u w:val="single"/>
          <w:lang w:val="es-AR"/>
        </w:rPr>
        <w:t>Economía</w:t>
      </w:r>
    </w:p>
    <w:p w:rsidR="00393ED1" w:rsidRPr="000847E5" w:rsidRDefault="00393ED1" w:rsidP="0098238C">
      <w:pPr>
        <w:pStyle w:val="Textoindependiente"/>
        <w:rPr>
          <w:rFonts w:ascii="Cambria" w:hAnsi="Cambria" w:cs="Times New Roman"/>
          <w:b w:val="0"/>
          <w:bCs w:val="0"/>
          <w:color w:val="auto"/>
          <w:sz w:val="22"/>
          <w:lang w:val="es-AR"/>
        </w:rPr>
      </w:pPr>
      <w:r w:rsidRPr="00BF58DA">
        <w:rPr>
          <w:rFonts w:ascii="Cambria" w:hAnsi="Cambria" w:cs="Times New Roman"/>
          <w:b w:val="0"/>
          <w:bCs w:val="0"/>
          <w:color w:val="auto"/>
          <w:sz w:val="22"/>
          <w:lang w:val="es-AR"/>
        </w:rPr>
        <w:t xml:space="preserve">La ciudad mantiene una importante actividad productiva, siendo el sector industrial, de servicios y de la construcción verdaderos motores del quehacer económico. Córdoba se destaca como núcleo automotriz y como una prometedora fuente de desarrollo informático de software. Su ubicación geográfica al borde de la pampa húmeda, estratégicamente comunicada con las regiones vecinas, y con una arraigada historia fabril, la posicionan en un lugar destacado en el entretejido económico del </w:t>
      </w:r>
      <w:r w:rsidRPr="000847E5">
        <w:rPr>
          <w:rFonts w:ascii="Cambria" w:hAnsi="Cambria" w:cs="Times New Roman"/>
          <w:b w:val="0"/>
          <w:bCs w:val="0"/>
          <w:color w:val="auto"/>
          <w:sz w:val="22"/>
          <w:lang w:val="es-AR"/>
        </w:rPr>
        <w:t xml:space="preserve">país. </w:t>
      </w:r>
    </w:p>
    <w:p w:rsidR="009A0793" w:rsidRDefault="00FC13BC" w:rsidP="0098238C">
      <w:pPr>
        <w:pStyle w:val="Textoindependiente"/>
        <w:rPr>
          <w:rFonts w:ascii="Cambria" w:hAnsi="Cambria" w:cs="Times New Roman"/>
          <w:b w:val="0"/>
          <w:bCs w:val="0"/>
          <w:color w:val="auto"/>
          <w:sz w:val="22"/>
          <w:lang w:val="es-AR"/>
        </w:rPr>
      </w:pPr>
      <w:r w:rsidRPr="000847E5">
        <w:rPr>
          <w:rFonts w:ascii="Cambria" w:hAnsi="Cambria" w:cs="Times New Roman"/>
          <w:b w:val="0"/>
          <w:bCs w:val="0"/>
          <w:color w:val="auto"/>
          <w:sz w:val="22"/>
          <w:lang w:val="es-AR"/>
        </w:rPr>
        <w:t>En 201</w:t>
      </w:r>
      <w:r w:rsidR="009D5B01" w:rsidRPr="000847E5">
        <w:rPr>
          <w:rFonts w:ascii="Cambria" w:hAnsi="Cambria" w:cs="Times New Roman"/>
          <w:b w:val="0"/>
          <w:bCs w:val="0"/>
          <w:color w:val="auto"/>
          <w:sz w:val="22"/>
          <w:lang w:val="es-AR"/>
        </w:rPr>
        <w:t>5</w:t>
      </w:r>
      <w:r w:rsidRPr="000847E5">
        <w:rPr>
          <w:rFonts w:ascii="Cambria" w:hAnsi="Cambria" w:cs="Times New Roman"/>
          <w:b w:val="0"/>
          <w:bCs w:val="0"/>
          <w:color w:val="auto"/>
          <w:sz w:val="22"/>
          <w:lang w:val="es-AR"/>
        </w:rPr>
        <w:t xml:space="preserve"> a precios constantes de 1993, el PB</w:t>
      </w:r>
      <w:r w:rsidR="009A0793" w:rsidRPr="000847E5">
        <w:rPr>
          <w:rFonts w:ascii="Cambria" w:hAnsi="Cambria" w:cs="Times New Roman"/>
          <w:b w:val="0"/>
          <w:bCs w:val="0"/>
          <w:color w:val="auto"/>
          <w:sz w:val="22"/>
          <w:lang w:val="es-AR"/>
        </w:rPr>
        <w:t>G</w:t>
      </w:r>
      <w:r w:rsidRPr="000847E5">
        <w:rPr>
          <w:rFonts w:ascii="Cambria" w:hAnsi="Cambria" w:cs="Times New Roman"/>
          <w:b w:val="0"/>
          <w:bCs w:val="0"/>
          <w:color w:val="auto"/>
          <w:sz w:val="22"/>
          <w:lang w:val="es-AR"/>
        </w:rPr>
        <w:t xml:space="preserve"> total de la Ciudad representó AR$</w:t>
      </w:r>
      <w:r w:rsidR="009D5B01" w:rsidRPr="000847E5">
        <w:rPr>
          <w:rFonts w:ascii="Cambria" w:hAnsi="Cambria" w:cs="Times New Roman"/>
          <w:b w:val="0"/>
          <w:bCs w:val="0"/>
          <w:color w:val="auto"/>
          <w:sz w:val="22"/>
          <w:lang w:val="es-AR"/>
        </w:rPr>
        <w:t>15.323</w:t>
      </w:r>
      <w:r w:rsidRPr="000847E5">
        <w:rPr>
          <w:rFonts w:ascii="Cambria" w:hAnsi="Cambria" w:cs="Times New Roman"/>
          <w:b w:val="0"/>
          <w:bCs w:val="0"/>
          <w:color w:val="auto"/>
          <w:sz w:val="22"/>
          <w:lang w:val="es-AR"/>
        </w:rPr>
        <w:t xml:space="preserve"> millones </w:t>
      </w:r>
      <w:r w:rsidR="009D5B01" w:rsidRPr="000847E5">
        <w:rPr>
          <w:rFonts w:ascii="Cambria" w:hAnsi="Cambria" w:cs="Times New Roman"/>
          <w:b w:val="0"/>
          <w:bCs w:val="0"/>
          <w:color w:val="auto"/>
          <w:sz w:val="22"/>
          <w:lang w:val="es-AR"/>
        </w:rPr>
        <w:t xml:space="preserve">de los </w:t>
      </w:r>
      <w:r w:rsidR="009A0793" w:rsidRPr="000847E5">
        <w:rPr>
          <w:rFonts w:ascii="Cambria" w:hAnsi="Cambria" w:cs="Times New Roman"/>
          <w:b w:val="0"/>
          <w:bCs w:val="0"/>
          <w:color w:val="auto"/>
          <w:sz w:val="22"/>
          <w:lang w:val="es-AR"/>
        </w:rPr>
        <w:t>A</w:t>
      </w:r>
      <w:r w:rsidR="009D5B01" w:rsidRPr="000847E5">
        <w:rPr>
          <w:rFonts w:ascii="Cambria" w:hAnsi="Cambria" w:cs="Times New Roman"/>
          <w:b w:val="0"/>
          <w:bCs w:val="0"/>
          <w:color w:val="auto"/>
          <w:sz w:val="22"/>
          <w:lang w:val="es-AR"/>
        </w:rPr>
        <w:t xml:space="preserve">R$38.403 millones del </w:t>
      </w:r>
      <w:r w:rsidRPr="000847E5">
        <w:rPr>
          <w:rFonts w:ascii="Cambria" w:hAnsi="Cambria" w:cs="Times New Roman"/>
          <w:b w:val="0"/>
          <w:bCs w:val="0"/>
          <w:color w:val="auto"/>
          <w:sz w:val="22"/>
          <w:lang w:val="es-AR"/>
        </w:rPr>
        <w:t>PB</w:t>
      </w:r>
      <w:r w:rsidR="009A0793" w:rsidRPr="000847E5">
        <w:rPr>
          <w:rFonts w:ascii="Cambria" w:hAnsi="Cambria" w:cs="Times New Roman"/>
          <w:b w:val="0"/>
          <w:bCs w:val="0"/>
          <w:color w:val="auto"/>
          <w:sz w:val="22"/>
          <w:lang w:val="es-AR"/>
        </w:rPr>
        <w:t>G</w:t>
      </w:r>
      <w:r w:rsidRPr="000847E5">
        <w:rPr>
          <w:rFonts w:ascii="Cambria" w:hAnsi="Cambria" w:cs="Times New Roman"/>
          <w:b w:val="0"/>
          <w:bCs w:val="0"/>
          <w:color w:val="auto"/>
          <w:sz w:val="22"/>
          <w:lang w:val="es-AR"/>
        </w:rPr>
        <w:t xml:space="preserve"> total de la Provincia. </w:t>
      </w:r>
      <w:r w:rsidR="009A0793" w:rsidRPr="000847E5">
        <w:rPr>
          <w:rFonts w:ascii="Cambria" w:hAnsi="Cambria" w:cs="Times New Roman"/>
          <w:b w:val="0"/>
          <w:bCs w:val="0"/>
          <w:color w:val="auto"/>
          <w:sz w:val="22"/>
          <w:lang w:val="es-AR"/>
        </w:rPr>
        <w:t>Los sectores productivos con mayor participación en el Producto Total de la ciudad son: las actividades inmobiliarias y afines que aportan el 18,9% del total, la Industria Manufacturera que representa el 16,5%, la intermediación financiera que aporta el 14,8% y el Comercio mayorista y minorista con el 13,5%.</w:t>
      </w:r>
      <w:r w:rsidR="009A0793">
        <w:rPr>
          <w:rFonts w:ascii="Cambria" w:hAnsi="Cambria" w:cs="Times New Roman"/>
          <w:b w:val="0"/>
          <w:bCs w:val="0"/>
          <w:color w:val="auto"/>
          <w:sz w:val="22"/>
          <w:lang w:val="es-AR"/>
        </w:rPr>
        <w:t xml:space="preserve"> </w:t>
      </w:r>
    </w:p>
    <w:p w:rsidR="00256096" w:rsidRDefault="00256096" w:rsidP="0098238C">
      <w:pPr>
        <w:pStyle w:val="Textoindependiente"/>
        <w:rPr>
          <w:rFonts w:ascii="Cambria" w:hAnsi="Cambria" w:cs="Times New Roman"/>
          <w:b w:val="0"/>
          <w:bCs w:val="0"/>
          <w:color w:val="auto"/>
          <w:sz w:val="22"/>
          <w:lang w:val="es-AR"/>
        </w:rPr>
      </w:pPr>
    </w:p>
    <w:p w:rsidR="00256096" w:rsidRDefault="00256096" w:rsidP="0098238C">
      <w:pPr>
        <w:pStyle w:val="Textoindependiente"/>
        <w:rPr>
          <w:rFonts w:ascii="Cambria" w:hAnsi="Cambria" w:cs="Times New Roman"/>
          <w:b w:val="0"/>
          <w:bCs w:val="0"/>
          <w:color w:val="auto"/>
          <w:sz w:val="22"/>
          <w:lang w:val="es-AR"/>
        </w:rPr>
      </w:pPr>
      <w:r>
        <w:rPr>
          <w:rFonts w:ascii="Cambria" w:hAnsi="Cambria" w:cs="Times New Roman"/>
          <w:b w:val="0"/>
          <w:bCs w:val="0"/>
          <w:color w:val="auto"/>
          <w:sz w:val="22"/>
          <w:lang w:val="es-AR"/>
        </w:rPr>
        <w:t xml:space="preserve">La Población económicamente activa del Gran Córdoba </w:t>
      </w:r>
      <w:r w:rsidR="004522B8">
        <w:rPr>
          <w:rFonts w:ascii="Cambria" w:hAnsi="Cambria" w:cs="Times New Roman"/>
          <w:b w:val="0"/>
          <w:bCs w:val="0"/>
          <w:color w:val="auto"/>
          <w:sz w:val="22"/>
          <w:lang w:val="es-AR"/>
        </w:rPr>
        <w:t>en 201</w:t>
      </w:r>
      <w:r w:rsidR="00DF6449">
        <w:rPr>
          <w:rFonts w:ascii="Cambria" w:hAnsi="Cambria" w:cs="Times New Roman"/>
          <w:b w:val="0"/>
          <w:bCs w:val="0"/>
          <w:color w:val="auto"/>
          <w:sz w:val="22"/>
          <w:lang w:val="es-AR"/>
        </w:rPr>
        <w:t>8</w:t>
      </w:r>
      <w:r w:rsidR="004522B8">
        <w:rPr>
          <w:rFonts w:ascii="Cambria" w:hAnsi="Cambria" w:cs="Times New Roman"/>
          <w:b w:val="0"/>
          <w:bCs w:val="0"/>
          <w:color w:val="auto"/>
          <w:sz w:val="22"/>
          <w:lang w:val="es-AR"/>
        </w:rPr>
        <w:t xml:space="preserve"> fue de 7</w:t>
      </w:r>
      <w:r w:rsidR="00DF6449">
        <w:rPr>
          <w:rFonts w:ascii="Cambria" w:hAnsi="Cambria" w:cs="Times New Roman"/>
          <w:b w:val="0"/>
          <w:bCs w:val="0"/>
          <w:color w:val="auto"/>
          <w:sz w:val="22"/>
          <w:lang w:val="es-AR"/>
        </w:rPr>
        <w:t>44</w:t>
      </w:r>
      <w:r w:rsidR="004522B8">
        <w:rPr>
          <w:rFonts w:ascii="Cambria" w:hAnsi="Cambria" w:cs="Times New Roman"/>
          <w:b w:val="0"/>
          <w:bCs w:val="0"/>
          <w:color w:val="auto"/>
          <w:sz w:val="22"/>
          <w:lang w:val="es-AR"/>
        </w:rPr>
        <w:t>.</w:t>
      </w:r>
      <w:r w:rsidR="00DF6449">
        <w:rPr>
          <w:rFonts w:ascii="Cambria" w:hAnsi="Cambria" w:cs="Times New Roman"/>
          <w:b w:val="0"/>
          <w:bCs w:val="0"/>
          <w:color w:val="auto"/>
          <w:sz w:val="22"/>
          <w:lang w:val="es-AR"/>
        </w:rPr>
        <w:t>876</w:t>
      </w:r>
      <w:r w:rsidR="004522B8">
        <w:rPr>
          <w:rFonts w:ascii="Cambria" w:hAnsi="Cambria" w:cs="Times New Roman"/>
          <w:b w:val="0"/>
          <w:bCs w:val="0"/>
          <w:color w:val="auto"/>
          <w:sz w:val="22"/>
          <w:lang w:val="es-AR"/>
        </w:rPr>
        <w:t xml:space="preserve"> personas, con una tasa de ocupación</w:t>
      </w:r>
      <w:r>
        <w:rPr>
          <w:rFonts w:ascii="Cambria" w:hAnsi="Cambria" w:cs="Times New Roman"/>
          <w:b w:val="0"/>
          <w:bCs w:val="0"/>
          <w:color w:val="auto"/>
          <w:sz w:val="22"/>
          <w:lang w:val="es-AR"/>
        </w:rPr>
        <w:t xml:space="preserve"> </w:t>
      </w:r>
      <w:r w:rsidR="004522B8">
        <w:rPr>
          <w:rFonts w:ascii="Cambria" w:hAnsi="Cambria" w:cs="Times New Roman"/>
          <w:b w:val="0"/>
          <w:bCs w:val="0"/>
          <w:color w:val="auto"/>
          <w:sz w:val="22"/>
          <w:lang w:val="es-AR"/>
        </w:rPr>
        <w:t>del 8</w:t>
      </w:r>
      <w:r w:rsidR="00DF6449">
        <w:rPr>
          <w:rFonts w:ascii="Cambria" w:hAnsi="Cambria" w:cs="Times New Roman"/>
          <w:b w:val="0"/>
          <w:bCs w:val="0"/>
          <w:color w:val="auto"/>
          <w:sz w:val="22"/>
          <w:lang w:val="es-AR"/>
        </w:rPr>
        <w:t>9</w:t>
      </w:r>
      <w:r w:rsidR="004522B8">
        <w:rPr>
          <w:rFonts w:ascii="Cambria" w:hAnsi="Cambria" w:cs="Times New Roman"/>
          <w:b w:val="0"/>
          <w:bCs w:val="0"/>
          <w:color w:val="auto"/>
          <w:sz w:val="22"/>
          <w:lang w:val="es-AR"/>
        </w:rPr>
        <w:t>,</w:t>
      </w:r>
      <w:r w:rsidR="00DF6449">
        <w:rPr>
          <w:rFonts w:ascii="Cambria" w:hAnsi="Cambria" w:cs="Times New Roman"/>
          <w:b w:val="0"/>
          <w:bCs w:val="0"/>
          <w:color w:val="auto"/>
          <w:sz w:val="22"/>
          <w:lang w:val="es-AR"/>
        </w:rPr>
        <w:t>2</w:t>
      </w:r>
      <w:r w:rsidR="004522B8">
        <w:rPr>
          <w:rFonts w:ascii="Cambria" w:hAnsi="Cambria" w:cs="Times New Roman"/>
          <w:b w:val="0"/>
          <w:bCs w:val="0"/>
          <w:color w:val="auto"/>
          <w:sz w:val="22"/>
          <w:lang w:val="es-AR"/>
        </w:rPr>
        <w:t>%.</w:t>
      </w:r>
    </w:p>
    <w:p w:rsidR="004522B8" w:rsidRPr="00BF58DA" w:rsidRDefault="004522B8" w:rsidP="0098238C">
      <w:pPr>
        <w:pStyle w:val="Textoindependiente"/>
        <w:rPr>
          <w:rFonts w:ascii="Cambria" w:hAnsi="Cambria" w:cs="Times New Roman"/>
          <w:b w:val="0"/>
          <w:bCs w:val="0"/>
          <w:color w:val="auto"/>
          <w:sz w:val="22"/>
          <w:lang w:val="es-AR"/>
        </w:rPr>
      </w:pPr>
    </w:p>
    <w:p w:rsidR="00BF58DA" w:rsidRPr="00BF58DA" w:rsidRDefault="008A333A" w:rsidP="0098238C">
      <w:pPr>
        <w:pStyle w:val="Textoindependiente"/>
        <w:rPr>
          <w:rFonts w:ascii="Cambria" w:hAnsi="Cambria" w:cs="Times New Roman"/>
          <w:b w:val="0"/>
          <w:bCs w:val="0"/>
          <w:color w:val="auto"/>
          <w:sz w:val="22"/>
          <w:lang w:val="es-AR"/>
        </w:rPr>
      </w:pPr>
      <w:r w:rsidRPr="000847E5">
        <w:rPr>
          <w:rFonts w:ascii="Cambria" w:hAnsi="Cambria" w:cs="Times New Roman"/>
          <w:b w:val="0"/>
          <w:bCs w:val="0"/>
          <w:color w:val="auto"/>
          <w:sz w:val="22"/>
          <w:lang w:val="es-AR"/>
        </w:rPr>
        <w:t xml:space="preserve">Los ingresos de la Ciudad están compuestos </w:t>
      </w:r>
      <w:r w:rsidR="00256096" w:rsidRPr="000847E5">
        <w:rPr>
          <w:rFonts w:ascii="Cambria" w:hAnsi="Cambria" w:cs="Times New Roman"/>
          <w:b w:val="0"/>
          <w:bCs w:val="0"/>
          <w:color w:val="auto"/>
          <w:sz w:val="22"/>
          <w:lang w:val="es-AR"/>
        </w:rPr>
        <w:t xml:space="preserve">principalmente </w:t>
      </w:r>
      <w:r w:rsidRPr="000847E5">
        <w:rPr>
          <w:rFonts w:ascii="Cambria" w:hAnsi="Cambria" w:cs="Times New Roman"/>
          <w:b w:val="0"/>
          <w:bCs w:val="0"/>
          <w:color w:val="auto"/>
          <w:sz w:val="22"/>
          <w:lang w:val="es-AR"/>
        </w:rPr>
        <w:t xml:space="preserve">por </w:t>
      </w:r>
      <w:r w:rsidR="00256096" w:rsidRPr="000847E5">
        <w:rPr>
          <w:rFonts w:ascii="Cambria" w:hAnsi="Cambria" w:cs="Times New Roman"/>
          <w:b w:val="0"/>
          <w:bCs w:val="0"/>
          <w:color w:val="auto"/>
          <w:sz w:val="22"/>
          <w:lang w:val="es-AR"/>
        </w:rPr>
        <w:t>tasas y contribuciones</w:t>
      </w:r>
      <w:r w:rsidRPr="000847E5">
        <w:rPr>
          <w:rFonts w:ascii="Cambria" w:hAnsi="Cambria" w:cs="Times New Roman"/>
          <w:b w:val="0"/>
          <w:bCs w:val="0"/>
          <w:color w:val="auto"/>
          <w:sz w:val="22"/>
          <w:lang w:val="es-AR"/>
        </w:rPr>
        <w:t xml:space="preserve"> </w:t>
      </w:r>
      <w:r w:rsidR="00256096" w:rsidRPr="000847E5">
        <w:rPr>
          <w:rFonts w:ascii="Cambria" w:hAnsi="Cambria" w:cs="Times New Roman"/>
          <w:b w:val="0"/>
          <w:bCs w:val="0"/>
          <w:color w:val="auto"/>
          <w:sz w:val="22"/>
          <w:lang w:val="es-AR"/>
        </w:rPr>
        <w:t>municipales</w:t>
      </w:r>
      <w:r w:rsidRPr="000847E5">
        <w:rPr>
          <w:rFonts w:ascii="Cambria" w:hAnsi="Cambria" w:cs="Times New Roman"/>
          <w:b w:val="0"/>
          <w:bCs w:val="0"/>
          <w:color w:val="auto"/>
          <w:sz w:val="22"/>
          <w:lang w:val="es-AR"/>
        </w:rPr>
        <w:t xml:space="preserve"> y por transferencias del Gobierno Federal y provincial</w:t>
      </w:r>
      <w:r w:rsidR="00256096" w:rsidRPr="000847E5">
        <w:rPr>
          <w:rFonts w:ascii="Cambria" w:hAnsi="Cambria" w:cs="Times New Roman"/>
          <w:b w:val="0"/>
          <w:bCs w:val="0"/>
          <w:color w:val="auto"/>
          <w:sz w:val="22"/>
          <w:lang w:val="es-AR"/>
        </w:rPr>
        <w:t>, los que se componen a su vez, por la Coparticipación Municipal de Impuestos y por Aportes no reintegrables</w:t>
      </w:r>
      <w:r w:rsidRPr="000847E5">
        <w:rPr>
          <w:rFonts w:ascii="Cambria" w:hAnsi="Cambria" w:cs="Times New Roman"/>
          <w:b w:val="0"/>
          <w:bCs w:val="0"/>
          <w:color w:val="auto"/>
          <w:sz w:val="22"/>
          <w:lang w:val="es-AR"/>
        </w:rPr>
        <w:t xml:space="preserve">. </w:t>
      </w:r>
      <w:r w:rsidR="00256096" w:rsidRPr="000847E5">
        <w:rPr>
          <w:rFonts w:ascii="Cambria" w:hAnsi="Cambria" w:cs="Times New Roman"/>
          <w:b w:val="0"/>
          <w:bCs w:val="0"/>
          <w:color w:val="auto"/>
          <w:sz w:val="22"/>
          <w:lang w:val="es-AR"/>
        </w:rPr>
        <w:t xml:space="preserve"> </w:t>
      </w:r>
      <w:r w:rsidR="00004E34">
        <w:rPr>
          <w:rFonts w:ascii="Cambria" w:hAnsi="Cambria" w:cs="Times New Roman"/>
          <w:b w:val="0"/>
          <w:bCs w:val="0"/>
          <w:color w:val="auto"/>
          <w:sz w:val="22"/>
          <w:lang w:val="es-AR"/>
        </w:rPr>
        <w:t>De acuerdo a la ejecución provisoria de la recaudación, al 30 de septiembre de</w:t>
      </w:r>
      <w:r w:rsidRPr="000847E5">
        <w:rPr>
          <w:rFonts w:ascii="Cambria" w:hAnsi="Cambria" w:cs="Times New Roman"/>
          <w:b w:val="0"/>
          <w:bCs w:val="0"/>
          <w:color w:val="auto"/>
          <w:sz w:val="22"/>
          <w:lang w:val="es-AR"/>
        </w:rPr>
        <w:t xml:space="preserve"> 201</w:t>
      </w:r>
      <w:r w:rsidR="00004E34">
        <w:rPr>
          <w:rFonts w:ascii="Cambria" w:hAnsi="Cambria" w:cs="Times New Roman"/>
          <w:b w:val="0"/>
          <w:bCs w:val="0"/>
          <w:color w:val="auto"/>
          <w:sz w:val="22"/>
          <w:lang w:val="es-AR"/>
        </w:rPr>
        <w:t>8</w:t>
      </w:r>
      <w:r w:rsidRPr="000847E5">
        <w:rPr>
          <w:rFonts w:ascii="Cambria" w:hAnsi="Cambria" w:cs="Times New Roman"/>
          <w:b w:val="0"/>
          <w:bCs w:val="0"/>
          <w:color w:val="auto"/>
          <w:sz w:val="22"/>
          <w:lang w:val="es-AR"/>
        </w:rPr>
        <w:t>, aproximadamente el 6</w:t>
      </w:r>
      <w:r w:rsidR="00004E34">
        <w:rPr>
          <w:rFonts w:ascii="Cambria" w:hAnsi="Cambria" w:cs="Times New Roman"/>
          <w:b w:val="0"/>
          <w:bCs w:val="0"/>
          <w:color w:val="auto"/>
          <w:sz w:val="22"/>
          <w:lang w:val="es-AR"/>
        </w:rPr>
        <w:t>4</w:t>
      </w:r>
      <w:r w:rsidRPr="000847E5">
        <w:rPr>
          <w:rFonts w:ascii="Cambria" w:hAnsi="Cambria" w:cs="Times New Roman"/>
          <w:b w:val="0"/>
          <w:bCs w:val="0"/>
          <w:color w:val="auto"/>
          <w:sz w:val="22"/>
          <w:lang w:val="es-AR"/>
        </w:rPr>
        <w:t xml:space="preserve">% de los ingresos </w:t>
      </w:r>
      <w:r w:rsidR="00004E34">
        <w:rPr>
          <w:rFonts w:ascii="Cambria" w:hAnsi="Cambria" w:cs="Times New Roman"/>
          <w:b w:val="0"/>
          <w:bCs w:val="0"/>
          <w:color w:val="auto"/>
          <w:sz w:val="22"/>
          <w:lang w:val="es-AR"/>
        </w:rPr>
        <w:t>corrientes</w:t>
      </w:r>
      <w:r w:rsidRPr="000847E5">
        <w:rPr>
          <w:rFonts w:ascii="Cambria" w:hAnsi="Cambria" w:cs="Times New Roman"/>
          <w:b w:val="0"/>
          <w:bCs w:val="0"/>
          <w:color w:val="auto"/>
          <w:sz w:val="22"/>
          <w:lang w:val="es-AR"/>
        </w:rPr>
        <w:t xml:space="preserve"> de la Ciudad fueron de recaudación propia, mi</w:t>
      </w:r>
      <w:r w:rsidR="0041177E" w:rsidRPr="000847E5">
        <w:rPr>
          <w:rFonts w:ascii="Cambria" w:hAnsi="Cambria" w:cs="Times New Roman"/>
          <w:b w:val="0"/>
          <w:bCs w:val="0"/>
          <w:color w:val="auto"/>
          <w:sz w:val="22"/>
          <w:lang w:val="es-AR"/>
        </w:rPr>
        <w:t>entras que aproximadamente el 3</w:t>
      </w:r>
      <w:r w:rsidR="00004E34">
        <w:rPr>
          <w:rFonts w:ascii="Cambria" w:hAnsi="Cambria" w:cs="Times New Roman"/>
          <w:b w:val="0"/>
          <w:bCs w:val="0"/>
          <w:color w:val="auto"/>
          <w:sz w:val="22"/>
          <w:lang w:val="es-AR"/>
        </w:rPr>
        <w:t>6</w:t>
      </w:r>
      <w:r w:rsidRPr="000847E5">
        <w:rPr>
          <w:rFonts w:ascii="Cambria" w:hAnsi="Cambria" w:cs="Times New Roman"/>
          <w:b w:val="0"/>
          <w:bCs w:val="0"/>
          <w:color w:val="auto"/>
          <w:sz w:val="22"/>
          <w:lang w:val="es-AR"/>
        </w:rPr>
        <w:t>% fueron transferencias nacionales y provinciales.</w:t>
      </w:r>
      <w:r w:rsidR="00EE6735">
        <w:rPr>
          <w:rFonts w:ascii="Cambria" w:hAnsi="Cambria" w:cs="Times New Roman"/>
          <w:b w:val="0"/>
          <w:bCs w:val="0"/>
          <w:color w:val="auto"/>
          <w:sz w:val="22"/>
          <w:lang w:val="es-AR"/>
        </w:rPr>
        <w:t xml:space="preserve"> </w:t>
      </w:r>
      <w:r w:rsidR="00B4313B">
        <w:rPr>
          <w:rFonts w:ascii="Cambria" w:hAnsi="Cambria" w:cs="Times New Roman"/>
          <w:b w:val="0"/>
          <w:bCs w:val="0"/>
          <w:color w:val="auto"/>
          <w:sz w:val="22"/>
          <w:lang w:val="es-AR"/>
        </w:rPr>
        <w:t xml:space="preserve">Por su parte, la municipalidad mantiene un muy bajo endeudamiento financiero, teniendo vigente </w:t>
      </w:r>
      <w:r w:rsidR="00004E34">
        <w:rPr>
          <w:rFonts w:ascii="Cambria" w:hAnsi="Cambria" w:cs="Times New Roman"/>
          <w:b w:val="0"/>
          <w:bCs w:val="0"/>
          <w:color w:val="auto"/>
          <w:sz w:val="22"/>
          <w:lang w:val="es-AR"/>
        </w:rPr>
        <w:t>dos</w:t>
      </w:r>
      <w:r w:rsidR="00B4313B">
        <w:rPr>
          <w:rFonts w:ascii="Cambria" w:hAnsi="Cambria" w:cs="Times New Roman"/>
          <w:b w:val="0"/>
          <w:bCs w:val="0"/>
          <w:color w:val="auto"/>
          <w:sz w:val="22"/>
          <w:lang w:val="es-AR"/>
        </w:rPr>
        <w:t xml:space="preserve"> serie</w:t>
      </w:r>
      <w:r w:rsidR="00004E34">
        <w:rPr>
          <w:rFonts w:ascii="Cambria" w:hAnsi="Cambria" w:cs="Times New Roman"/>
          <w:b w:val="0"/>
          <w:bCs w:val="0"/>
          <w:color w:val="auto"/>
          <w:sz w:val="22"/>
          <w:lang w:val="es-AR"/>
        </w:rPr>
        <w:t>s</w:t>
      </w:r>
      <w:r w:rsidR="00B4313B">
        <w:rPr>
          <w:rFonts w:ascii="Cambria" w:hAnsi="Cambria" w:cs="Times New Roman"/>
          <w:b w:val="0"/>
          <w:bCs w:val="0"/>
          <w:color w:val="auto"/>
          <w:sz w:val="22"/>
          <w:lang w:val="es-AR"/>
        </w:rPr>
        <w:t xml:space="preserve"> de letras por</w:t>
      </w:r>
      <w:r w:rsidR="00004E34">
        <w:rPr>
          <w:rFonts w:ascii="Cambria" w:hAnsi="Cambria" w:cs="Times New Roman"/>
          <w:b w:val="0"/>
          <w:bCs w:val="0"/>
          <w:color w:val="auto"/>
          <w:sz w:val="22"/>
          <w:lang w:val="es-AR"/>
        </w:rPr>
        <w:t xml:space="preserve"> un total de $ 6</w:t>
      </w:r>
      <w:r w:rsidR="00B4313B">
        <w:rPr>
          <w:rFonts w:ascii="Cambria" w:hAnsi="Cambria" w:cs="Times New Roman"/>
          <w:b w:val="0"/>
          <w:bCs w:val="0"/>
          <w:color w:val="auto"/>
          <w:sz w:val="22"/>
          <w:lang w:val="es-AR"/>
        </w:rPr>
        <w:t>50.000.000 y habiendo cancelado todas sus obligaciones de mediano plazo</w:t>
      </w:r>
      <w:r w:rsidR="00E538C0">
        <w:rPr>
          <w:rFonts w:ascii="Cambria" w:hAnsi="Cambria" w:cs="Times New Roman"/>
          <w:b w:val="0"/>
          <w:bCs w:val="0"/>
          <w:color w:val="auto"/>
          <w:sz w:val="22"/>
          <w:lang w:val="es-AR"/>
        </w:rPr>
        <w:t>.</w:t>
      </w:r>
    </w:p>
    <w:p w:rsidR="002733B9" w:rsidRPr="00BF58DA" w:rsidRDefault="002733B9" w:rsidP="0098238C">
      <w:pPr>
        <w:pStyle w:val="Textoindependiente"/>
        <w:rPr>
          <w:rFonts w:ascii="Cambria" w:hAnsi="Cambria" w:cs="Times New Roman"/>
          <w:b w:val="0"/>
          <w:bCs w:val="0"/>
          <w:color w:val="auto"/>
          <w:sz w:val="22"/>
          <w:lang w:val="es-AR"/>
        </w:rPr>
      </w:pPr>
    </w:p>
    <w:p w:rsidR="002733B9" w:rsidRPr="00BF58DA" w:rsidRDefault="002733B9" w:rsidP="0098238C">
      <w:pPr>
        <w:pStyle w:val="Textoindependiente"/>
        <w:rPr>
          <w:rFonts w:ascii="Cambria" w:hAnsi="Cambria" w:cs="Times New Roman"/>
          <w:b w:val="0"/>
          <w:bCs w:val="0"/>
          <w:color w:val="auto"/>
          <w:sz w:val="22"/>
          <w:lang w:val="es-AR"/>
        </w:rPr>
      </w:pPr>
    </w:p>
    <w:sectPr w:rsidR="002733B9" w:rsidRPr="00BF58DA" w:rsidSect="00365F23">
      <w:headerReference w:type="default" r:id="rId12"/>
      <w:footerReference w:type="default" r:id="rId13"/>
      <w:pgSz w:w="12242" w:h="15842" w:code="1"/>
      <w:pgMar w:top="1258" w:right="1262" w:bottom="709" w:left="1440" w:header="720" w:footer="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9C" w:rsidRDefault="00AB799C">
      <w:r>
        <w:separator/>
      </w:r>
    </w:p>
  </w:endnote>
  <w:endnote w:type="continuationSeparator" w:id="0">
    <w:p w:rsidR="00AB799C" w:rsidRDefault="00AB7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rebuchetMS">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F5" w:rsidRDefault="008C63F5" w:rsidP="00D57AD5">
    <w:pPr>
      <w:pStyle w:val="Piedepgina"/>
      <w:tabs>
        <w:tab w:val="clear" w:pos="4252"/>
        <w:tab w:val="center" w:pos="142"/>
      </w:tabs>
      <w:jc w:val="center"/>
    </w:pPr>
  </w:p>
  <w:p w:rsidR="008C63F5" w:rsidRDefault="008C63F5" w:rsidP="00D57AD5">
    <w:pPr>
      <w:pStyle w:val="Piedepgina"/>
      <w:tabs>
        <w:tab w:val="clear" w:pos="4252"/>
        <w:tab w:val="center" w:pos="142"/>
      </w:tabs>
      <w:jc w:val="center"/>
    </w:pPr>
  </w:p>
  <w:tbl>
    <w:tblPr>
      <w:tblW w:w="11583" w:type="dxa"/>
      <w:jc w:val="center"/>
      <w:tblLayout w:type="fixed"/>
      <w:tblLook w:val="04A0"/>
    </w:tblPr>
    <w:tblGrid>
      <w:gridCol w:w="2895"/>
      <w:gridCol w:w="2896"/>
      <w:gridCol w:w="2896"/>
      <w:gridCol w:w="2896"/>
    </w:tblGrid>
    <w:tr w:rsidR="00961160" w:rsidTr="00961160">
      <w:trPr>
        <w:trHeight w:val="1020"/>
        <w:jc w:val="center"/>
      </w:trPr>
      <w:tc>
        <w:tcPr>
          <w:tcW w:w="2895" w:type="dxa"/>
          <w:shd w:val="clear" w:color="auto" w:fill="auto"/>
          <w:vAlign w:val="center"/>
        </w:tcPr>
        <w:p w:rsidR="00961160" w:rsidRDefault="00961160" w:rsidP="00961160">
          <w:pPr>
            <w:pStyle w:val="Piedepgina"/>
            <w:tabs>
              <w:tab w:val="clear" w:pos="4252"/>
              <w:tab w:val="center" w:pos="142"/>
            </w:tabs>
            <w:jc w:val="center"/>
          </w:pPr>
          <w:r>
            <w:rPr>
              <w:rFonts w:ascii="Tahoma" w:hAnsi="Tahoma" w:cs="Tahoma"/>
              <w:noProof/>
            </w:rPr>
            <w:drawing>
              <wp:inline distT="0" distB="0" distL="0" distR="0">
                <wp:extent cx="1073019" cy="432000"/>
                <wp:effectExtent l="0" t="0" r="0" b="6350"/>
                <wp:docPr id="4" name="Imagen 4" descr="Imagen integrad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integrada 1"/>
                        <pic:cNvPicPr>
                          <a:picLocks noChangeAspect="1" noChangeArrowheads="1"/>
                        </pic:cNvPicPr>
                      </pic:nvPicPr>
                      <pic:blipFill rotWithShape="1">
                        <a:blip r:embed="rId1" r:link="rId2"/>
                        <a:srcRect r="5378"/>
                        <a:stretch/>
                      </pic:blipFill>
                      <pic:spPr bwMode="auto">
                        <a:xfrm>
                          <a:off x="0" y="0"/>
                          <a:ext cx="1073019" cy="432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tc>
      <w:tc>
        <w:tcPr>
          <w:tcW w:w="2896" w:type="dxa"/>
          <w:vAlign w:val="center"/>
        </w:tcPr>
        <w:p w:rsidR="00961160" w:rsidRDefault="00961160" w:rsidP="00961160">
          <w:pPr>
            <w:pStyle w:val="Piedepgina"/>
            <w:tabs>
              <w:tab w:val="clear" w:pos="4252"/>
              <w:tab w:val="center" w:pos="142"/>
            </w:tabs>
            <w:rPr>
              <w:noProof/>
              <w:lang w:val="es-AR" w:eastAsia="es-AR"/>
            </w:rPr>
          </w:pPr>
          <w:r>
            <w:rPr>
              <w:noProof/>
            </w:rPr>
            <w:drawing>
              <wp:inline distT="0" distB="0" distL="0" distR="0">
                <wp:extent cx="1485900" cy="4597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5900" cy="459740"/>
                        </a:xfrm>
                        <a:prstGeom prst="rect">
                          <a:avLst/>
                        </a:prstGeom>
                        <a:noFill/>
                      </pic:spPr>
                    </pic:pic>
                  </a:graphicData>
                </a:graphic>
              </wp:inline>
            </w:drawing>
          </w:r>
        </w:p>
      </w:tc>
      <w:tc>
        <w:tcPr>
          <w:tcW w:w="2896" w:type="dxa"/>
          <w:shd w:val="clear" w:color="auto" w:fill="auto"/>
          <w:vAlign w:val="center"/>
        </w:tcPr>
        <w:p w:rsidR="00961160" w:rsidRDefault="00961160" w:rsidP="00633ABE">
          <w:pPr>
            <w:pStyle w:val="Piedepgina"/>
            <w:tabs>
              <w:tab w:val="clear" w:pos="4252"/>
              <w:tab w:val="center" w:pos="142"/>
            </w:tabs>
            <w:jc w:val="center"/>
          </w:pPr>
          <w:r>
            <w:rPr>
              <w:noProof/>
            </w:rPr>
            <w:drawing>
              <wp:inline distT="0" distB="0" distL="0" distR="0">
                <wp:extent cx="847725" cy="495300"/>
                <wp:effectExtent l="0" t="0" r="9525" b="0"/>
                <wp:docPr id="5" name="Imagen 8" descr="cid:image010.jpg@01D36552.44B6C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id:image010.jpg@01D36552.44B6CA30"/>
                        <pic:cNvPicPr>
                          <a:picLocks noChangeAspect="1" noChangeArrowheads="1"/>
                        </pic:cNvPicPr>
                      </pic:nvPicPr>
                      <pic:blipFill>
                        <a:blip r:embed="rId4"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495300"/>
                        </a:xfrm>
                        <a:prstGeom prst="rect">
                          <a:avLst/>
                        </a:prstGeom>
                        <a:noFill/>
                        <a:ln w="9525">
                          <a:noFill/>
                          <a:miter lim="800000"/>
                          <a:headEnd/>
                          <a:tailEnd/>
                        </a:ln>
                      </pic:spPr>
                    </pic:pic>
                  </a:graphicData>
                </a:graphic>
              </wp:inline>
            </w:drawing>
          </w:r>
        </w:p>
      </w:tc>
      <w:tc>
        <w:tcPr>
          <w:tcW w:w="2896" w:type="dxa"/>
          <w:vAlign w:val="center"/>
        </w:tcPr>
        <w:p w:rsidR="00961160" w:rsidRDefault="00961160" w:rsidP="00633ABE">
          <w:pPr>
            <w:pStyle w:val="Piedepgina"/>
            <w:tabs>
              <w:tab w:val="clear" w:pos="4252"/>
              <w:tab w:val="center" w:pos="142"/>
            </w:tabs>
            <w:jc w:val="center"/>
            <w:rPr>
              <w:rFonts w:ascii="Cambria" w:hAnsi="Cambria"/>
              <w:noProof/>
              <w:lang w:val="es-AR" w:eastAsia="es-AR"/>
            </w:rPr>
          </w:pPr>
          <w:r>
            <w:rPr>
              <w:noProof/>
            </w:rPr>
            <w:drawing>
              <wp:anchor distT="0" distB="0" distL="114300" distR="114300" simplePos="0" relativeHeight="251662336" behindDoc="0" locked="0" layoutInCell="1" allowOverlap="1">
                <wp:simplePos x="0" y="0"/>
                <wp:positionH relativeFrom="column">
                  <wp:posOffset>77470</wp:posOffset>
                </wp:positionH>
                <wp:positionV relativeFrom="paragraph">
                  <wp:posOffset>-269240</wp:posOffset>
                </wp:positionV>
                <wp:extent cx="1233805" cy="431800"/>
                <wp:effectExtent l="0" t="0" r="4445" b="6350"/>
                <wp:wrapThrough wrapText="bothSides">
                  <wp:wrapPolygon edited="0">
                    <wp:start x="0" y="0"/>
                    <wp:lineTo x="0" y="20965"/>
                    <wp:lineTo x="21344" y="20965"/>
                    <wp:lineTo x="21344" y="0"/>
                    <wp:lineTo x="0" y="0"/>
                  </wp:wrapPolygon>
                </wp:wrapThrough>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3805" cy="431800"/>
                        </a:xfrm>
                        <a:prstGeom prst="rect">
                          <a:avLst/>
                        </a:prstGeom>
                        <a:noFill/>
                        <a:ln w="9525">
                          <a:noFill/>
                          <a:miter lim="800000"/>
                          <a:headEnd/>
                          <a:tailEnd/>
                        </a:ln>
                      </pic:spPr>
                    </pic:pic>
                  </a:graphicData>
                </a:graphic>
              </wp:anchor>
            </w:drawing>
          </w:r>
        </w:p>
      </w:tc>
    </w:tr>
  </w:tbl>
  <w:p w:rsidR="008C63F5" w:rsidRDefault="008C63F5" w:rsidP="00D57AD5">
    <w:pPr>
      <w:pStyle w:val="Piedepgina"/>
      <w:tabs>
        <w:tab w:val="clear" w:pos="4252"/>
        <w:tab w:val="center" w:pos="142"/>
      </w:tabs>
      <w:jc w:val="center"/>
    </w:pPr>
  </w:p>
  <w:p w:rsidR="008C63F5" w:rsidRDefault="008C63F5" w:rsidP="00D57AD5">
    <w:pPr>
      <w:pStyle w:val="Piedepgina"/>
      <w:tabs>
        <w:tab w:val="clear" w:pos="4252"/>
        <w:tab w:val="center" w:pos="142"/>
      </w:tabs>
      <w:jc w:val="center"/>
    </w:pPr>
  </w:p>
  <w:p w:rsidR="008C63F5" w:rsidRDefault="00971706" w:rsidP="00A023F1">
    <w:pPr>
      <w:pStyle w:val="Piedepgina"/>
      <w:tabs>
        <w:tab w:val="clear" w:pos="4252"/>
        <w:tab w:val="center" w:pos="142"/>
      </w:tabs>
      <w:jc w:val="center"/>
    </w:pPr>
    <w:r>
      <w:fldChar w:fldCharType="begin"/>
    </w:r>
    <w:r w:rsidR="00B4313B">
      <w:instrText xml:space="preserve"> PAGE   \* MERGEFORMAT </w:instrText>
    </w:r>
    <w:r>
      <w:fldChar w:fldCharType="separate"/>
    </w:r>
    <w:r w:rsidR="00A07128">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9C" w:rsidRDefault="00AB799C">
      <w:r>
        <w:separator/>
      </w:r>
    </w:p>
  </w:footnote>
  <w:footnote w:type="continuationSeparator" w:id="0">
    <w:p w:rsidR="00AB799C" w:rsidRDefault="00AB7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20" w:type="dxa"/>
      <w:tblInd w:w="-714" w:type="dxa"/>
      <w:tblLayout w:type="fixed"/>
      <w:tblCellMar>
        <w:left w:w="70" w:type="dxa"/>
        <w:right w:w="70" w:type="dxa"/>
      </w:tblCellMar>
      <w:tblLook w:val="04A0"/>
    </w:tblPr>
    <w:tblGrid>
      <w:gridCol w:w="2521"/>
      <w:gridCol w:w="2304"/>
      <w:gridCol w:w="3402"/>
      <w:gridCol w:w="2693"/>
    </w:tblGrid>
    <w:tr w:rsidR="008C63F5" w:rsidRPr="00E52F3D" w:rsidTr="007F2521">
      <w:trPr>
        <w:trHeight w:val="1023"/>
      </w:trPr>
      <w:tc>
        <w:tcPr>
          <w:tcW w:w="2521" w:type="dxa"/>
          <w:vAlign w:val="center"/>
        </w:tcPr>
        <w:p w:rsidR="008C63F5" w:rsidRPr="00E52F3D" w:rsidRDefault="008C63F5" w:rsidP="003F7C39">
          <w:pPr>
            <w:pStyle w:val="Encabezado"/>
            <w:ind w:left="71" w:hanging="71"/>
            <w:jc w:val="center"/>
            <w:rPr>
              <w:b/>
              <w:i/>
              <w:sz w:val="28"/>
              <w:szCs w:val="28"/>
            </w:rPr>
          </w:pPr>
          <w:r>
            <w:rPr>
              <w:noProof/>
              <w:lang w:val="es-ES"/>
            </w:rPr>
            <w:drawing>
              <wp:inline distT="0" distB="0" distL="0" distR="0">
                <wp:extent cx="1513766" cy="308610"/>
                <wp:effectExtent l="0" t="0" r="0" b="0"/>
                <wp:docPr id="10" name="Imagen 29" descr="lo_m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lo_mav"/>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6304" cy="309127"/>
                        </a:xfrm>
                        <a:prstGeom prst="rect">
                          <a:avLst/>
                        </a:prstGeom>
                        <a:noFill/>
                        <a:ln w="9525">
                          <a:noFill/>
                          <a:miter lim="800000"/>
                          <a:headEnd/>
                          <a:tailEnd/>
                        </a:ln>
                      </pic:spPr>
                    </pic:pic>
                  </a:graphicData>
                </a:graphic>
              </wp:inline>
            </w:drawing>
          </w:r>
        </w:p>
      </w:tc>
      <w:tc>
        <w:tcPr>
          <w:tcW w:w="2304" w:type="dxa"/>
          <w:vAlign w:val="center"/>
        </w:tcPr>
        <w:p w:rsidR="008C63F5" w:rsidRDefault="007F2521" w:rsidP="00FB7FE9">
          <w:pPr>
            <w:pStyle w:val="Encabezado"/>
            <w:jc w:val="center"/>
            <w:rPr>
              <w:b/>
              <w:i/>
              <w:sz w:val="28"/>
              <w:szCs w:val="28"/>
            </w:rPr>
          </w:pPr>
          <w:r>
            <w:rPr>
              <w:noProof/>
              <w:lang w:val="es-ES"/>
            </w:rPr>
            <w:drawing>
              <wp:inline distT="0" distB="0" distL="0" distR="0">
                <wp:extent cx="1135380" cy="452956"/>
                <wp:effectExtent l="0" t="0" r="7620" b="4445"/>
                <wp:docPr id="7" name="Imagen 1" descr="cid:image001.png@01D3B6EB.21B02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cid:image001.png@01D3B6EB.21B02C8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6863" cy="457537"/>
                        </a:xfrm>
                        <a:prstGeom prst="rect">
                          <a:avLst/>
                        </a:prstGeom>
                        <a:noFill/>
                        <a:ln>
                          <a:noFill/>
                        </a:ln>
                        <a:extLst/>
                      </pic:spPr>
                    </pic:pic>
                  </a:graphicData>
                </a:graphic>
              </wp:inline>
            </w:drawing>
          </w:r>
        </w:p>
      </w:tc>
      <w:tc>
        <w:tcPr>
          <w:tcW w:w="3402" w:type="dxa"/>
          <w:vAlign w:val="center"/>
        </w:tcPr>
        <w:p w:rsidR="008C63F5" w:rsidRPr="009C295D" w:rsidRDefault="008C63F5">
          <w:pPr>
            <w:pStyle w:val="Encabezado"/>
            <w:jc w:val="center"/>
            <w:rPr>
              <w:color w:val="433869"/>
              <w:sz w:val="31"/>
              <w:szCs w:val="31"/>
              <w:lang w:val="en-US"/>
            </w:rPr>
          </w:pPr>
          <w:r>
            <w:rPr>
              <w:noProof/>
              <w:lang w:val="es-ES"/>
            </w:rPr>
            <w:drawing>
              <wp:inline distT="0" distB="0" distL="0" distR="0">
                <wp:extent cx="1809750" cy="352425"/>
                <wp:effectExtent l="0" t="0" r="0" b="9525"/>
                <wp:docPr id="2" name="Imagen 4" descr="logo municip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unicipalidad"/>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0" cy="352425"/>
                        </a:xfrm>
                        <a:prstGeom prst="rect">
                          <a:avLst/>
                        </a:prstGeom>
                        <a:noFill/>
                        <a:ln w="9525">
                          <a:noFill/>
                          <a:miter lim="800000"/>
                          <a:headEnd/>
                          <a:tailEnd/>
                        </a:ln>
                      </pic:spPr>
                    </pic:pic>
                  </a:graphicData>
                </a:graphic>
              </wp:inline>
            </w:drawing>
          </w:r>
        </w:p>
      </w:tc>
      <w:tc>
        <w:tcPr>
          <w:tcW w:w="2693" w:type="dxa"/>
          <w:vAlign w:val="center"/>
        </w:tcPr>
        <w:p w:rsidR="008C63F5" w:rsidRPr="00E52F3D" w:rsidRDefault="008C63F5">
          <w:pPr>
            <w:pStyle w:val="Encabezado"/>
            <w:jc w:val="center"/>
            <w:rPr>
              <w:b/>
              <w:i/>
              <w:sz w:val="28"/>
              <w:szCs w:val="28"/>
            </w:rPr>
          </w:pPr>
          <w:r>
            <w:rPr>
              <w:noProof/>
              <w:lang w:val="es-ES"/>
            </w:rPr>
            <w:drawing>
              <wp:inline distT="0" distB="0" distL="0" distR="0">
                <wp:extent cx="1451610" cy="356870"/>
                <wp:effectExtent l="0" t="0" r="0" b="5080"/>
                <wp:docPr id="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37102" b="-537"/>
                        <a:stretch>
                          <a:fillRect/>
                        </a:stretch>
                      </pic:blipFill>
                      <pic:spPr bwMode="auto">
                        <a:xfrm>
                          <a:off x="0" y="0"/>
                          <a:ext cx="1451610" cy="356870"/>
                        </a:xfrm>
                        <a:prstGeom prst="rect">
                          <a:avLst/>
                        </a:prstGeom>
                        <a:noFill/>
                        <a:ln w="9525">
                          <a:noFill/>
                          <a:miter lim="800000"/>
                          <a:headEnd/>
                          <a:tailEnd/>
                        </a:ln>
                      </pic:spPr>
                    </pic:pic>
                  </a:graphicData>
                </a:graphic>
              </wp:inline>
            </w:drawing>
          </w:r>
        </w:p>
      </w:tc>
    </w:tr>
  </w:tbl>
  <w:p w:rsidR="008C63F5" w:rsidRDefault="008C63F5" w:rsidP="00887C4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D4E43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2716E7"/>
    <w:multiLevelType w:val="hybridMultilevel"/>
    <w:tmpl w:val="B45EEE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7C0004"/>
    <w:multiLevelType w:val="hybridMultilevel"/>
    <w:tmpl w:val="7F6E2E84"/>
    <w:lvl w:ilvl="0" w:tplc="0C0A0005">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8259B8"/>
    <w:multiLevelType w:val="hybridMultilevel"/>
    <w:tmpl w:val="6C8811E6"/>
    <w:lvl w:ilvl="0" w:tplc="CD0039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4">
    <w:nsid w:val="07EF7E13"/>
    <w:multiLevelType w:val="hybridMultilevel"/>
    <w:tmpl w:val="DF660D0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097626A4"/>
    <w:multiLevelType w:val="hybridMultilevel"/>
    <w:tmpl w:val="12F0EC42"/>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6">
    <w:nsid w:val="0F2A6CDD"/>
    <w:multiLevelType w:val="hybridMultilevel"/>
    <w:tmpl w:val="94AC2044"/>
    <w:lvl w:ilvl="0" w:tplc="95CC1F0C">
      <w:numFmt w:val="bullet"/>
      <w:lvlText w:val="•"/>
      <w:lvlJc w:val="left"/>
      <w:pPr>
        <w:ind w:left="1068" w:hanging="360"/>
      </w:pPr>
      <w:rPr>
        <w:rFonts w:ascii="Garamond" w:eastAsia="Times New Roman" w:hAnsi="Garamond" w:cs="SymbolMT"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nsid w:val="127E160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BB13B3"/>
    <w:multiLevelType w:val="hybridMultilevel"/>
    <w:tmpl w:val="E1A4F830"/>
    <w:lvl w:ilvl="0" w:tplc="CD0039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9">
    <w:nsid w:val="16375F01"/>
    <w:multiLevelType w:val="hybridMultilevel"/>
    <w:tmpl w:val="F5C4EEF6"/>
    <w:lvl w:ilvl="0" w:tplc="CD003910">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32"/>
        </w:tabs>
        <w:ind w:left="732" w:hanging="360"/>
      </w:pPr>
      <w:rPr>
        <w:rFonts w:ascii="Courier New" w:hAnsi="Courier New" w:hint="default"/>
      </w:rPr>
    </w:lvl>
    <w:lvl w:ilvl="2" w:tplc="0C0A0005" w:tentative="1">
      <w:start w:val="1"/>
      <w:numFmt w:val="bullet"/>
      <w:lvlText w:val=""/>
      <w:lvlJc w:val="left"/>
      <w:pPr>
        <w:tabs>
          <w:tab w:val="num" w:pos="1452"/>
        </w:tabs>
        <w:ind w:left="1452" w:hanging="360"/>
      </w:pPr>
      <w:rPr>
        <w:rFonts w:ascii="Wingdings" w:hAnsi="Wingdings" w:hint="default"/>
      </w:rPr>
    </w:lvl>
    <w:lvl w:ilvl="3" w:tplc="0C0A0001" w:tentative="1">
      <w:start w:val="1"/>
      <w:numFmt w:val="bullet"/>
      <w:lvlText w:val=""/>
      <w:lvlJc w:val="left"/>
      <w:pPr>
        <w:tabs>
          <w:tab w:val="num" w:pos="2172"/>
        </w:tabs>
        <w:ind w:left="2172" w:hanging="360"/>
      </w:pPr>
      <w:rPr>
        <w:rFonts w:ascii="Symbol" w:hAnsi="Symbol" w:hint="default"/>
      </w:rPr>
    </w:lvl>
    <w:lvl w:ilvl="4" w:tplc="0C0A0003" w:tentative="1">
      <w:start w:val="1"/>
      <w:numFmt w:val="bullet"/>
      <w:lvlText w:val="o"/>
      <w:lvlJc w:val="left"/>
      <w:pPr>
        <w:tabs>
          <w:tab w:val="num" w:pos="2892"/>
        </w:tabs>
        <w:ind w:left="2892" w:hanging="360"/>
      </w:pPr>
      <w:rPr>
        <w:rFonts w:ascii="Courier New" w:hAnsi="Courier New" w:hint="default"/>
      </w:rPr>
    </w:lvl>
    <w:lvl w:ilvl="5" w:tplc="0C0A0005" w:tentative="1">
      <w:start w:val="1"/>
      <w:numFmt w:val="bullet"/>
      <w:lvlText w:val=""/>
      <w:lvlJc w:val="left"/>
      <w:pPr>
        <w:tabs>
          <w:tab w:val="num" w:pos="3612"/>
        </w:tabs>
        <w:ind w:left="3612" w:hanging="360"/>
      </w:pPr>
      <w:rPr>
        <w:rFonts w:ascii="Wingdings" w:hAnsi="Wingdings" w:hint="default"/>
      </w:rPr>
    </w:lvl>
    <w:lvl w:ilvl="6" w:tplc="0C0A0001" w:tentative="1">
      <w:start w:val="1"/>
      <w:numFmt w:val="bullet"/>
      <w:lvlText w:val=""/>
      <w:lvlJc w:val="left"/>
      <w:pPr>
        <w:tabs>
          <w:tab w:val="num" w:pos="4332"/>
        </w:tabs>
        <w:ind w:left="4332" w:hanging="360"/>
      </w:pPr>
      <w:rPr>
        <w:rFonts w:ascii="Symbol" w:hAnsi="Symbol" w:hint="default"/>
      </w:rPr>
    </w:lvl>
    <w:lvl w:ilvl="7" w:tplc="0C0A0003" w:tentative="1">
      <w:start w:val="1"/>
      <w:numFmt w:val="bullet"/>
      <w:lvlText w:val="o"/>
      <w:lvlJc w:val="left"/>
      <w:pPr>
        <w:tabs>
          <w:tab w:val="num" w:pos="5052"/>
        </w:tabs>
        <w:ind w:left="5052" w:hanging="360"/>
      </w:pPr>
      <w:rPr>
        <w:rFonts w:ascii="Courier New" w:hAnsi="Courier New" w:hint="default"/>
      </w:rPr>
    </w:lvl>
    <w:lvl w:ilvl="8" w:tplc="0C0A0005" w:tentative="1">
      <w:start w:val="1"/>
      <w:numFmt w:val="bullet"/>
      <w:lvlText w:val=""/>
      <w:lvlJc w:val="left"/>
      <w:pPr>
        <w:tabs>
          <w:tab w:val="num" w:pos="5772"/>
        </w:tabs>
        <w:ind w:left="5772" w:hanging="360"/>
      </w:pPr>
      <w:rPr>
        <w:rFonts w:ascii="Wingdings" w:hAnsi="Wingdings" w:hint="default"/>
      </w:rPr>
    </w:lvl>
  </w:abstractNum>
  <w:abstractNum w:abstractNumId="10">
    <w:nsid w:val="1C5802D4"/>
    <w:multiLevelType w:val="hybridMultilevel"/>
    <w:tmpl w:val="61BCC7E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230524FD"/>
    <w:multiLevelType w:val="hybridMultilevel"/>
    <w:tmpl w:val="6A98D30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12">
    <w:nsid w:val="251132C9"/>
    <w:multiLevelType w:val="hybridMultilevel"/>
    <w:tmpl w:val="12DA760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13">
    <w:nsid w:val="27744AAD"/>
    <w:multiLevelType w:val="hybridMultilevel"/>
    <w:tmpl w:val="BC0A80D0"/>
    <w:lvl w:ilvl="0" w:tplc="E500E66E">
      <w:start w:val="1"/>
      <w:numFmt w:val="decimal"/>
      <w:pStyle w:val="Titulo2"/>
      <w:lvlText w:val="%1."/>
      <w:lvlJc w:val="left"/>
      <w:pPr>
        <w:tabs>
          <w:tab w:val="num" w:pos="360"/>
        </w:tabs>
        <w:ind w:left="360" w:hanging="360"/>
      </w:pPr>
      <w:rPr>
        <w:rFonts w:ascii="Garamond" w:hAnsi="Garamond" w:hint="default"/>
        <w:b/>
        <w:i w:val="0"/>
        <w:sz w:val="24"/>
        <w:szCs w:val="24"/>
      </w:rPr>
    </w:lvl>
    <w:lvl w:ilvl="1" w:tplc="0C0A0001">
      <w:start w:val="1"/>
      <w:numFmt w:val="bullet"/>
      <w:lvlText w:val=""/>
      <w:lvlJc w:val="left"/>
      <w:pPr>
        <w:tabs>
          <w:tab w:val="num" w:pos="1800"/>
        </w:tabs>
        <w:ind w:left="1800" w:hanging="360"/>
      </w:pPr>
      <w:rPr>
        <w:rFonts w:ascii="Symbol" w:hAnsi="Symbol" w:hint="default"/>
        <w:b/>
        <w:i w:val="0"/>
        <w:sz w:val="24"/>
        <w:szCs w:val="24"/>
      </w:rPr>
    </w:lvl>
    <w:lvl w:ilvl="2" w:tplc="C6F68702">
      <w:start w:val="1"/>
      <w:numFmt w:val="lowerRoman"/>
      <w:lvlText w:val="(%3)"/>
      <w:lvlJc w:val="left"/>
      <w:pPr>
        <w:tabs>
          <w:tab w:val="num" w:pos="3060"/>
        </w:tabs>
        <w:ind w:left="3060" w:hanging="720"/>
      </w:pPr>
      <w:rPr>
        <w:rFonts w:ascii="Garamond" w:eastAsia="Times New Roman" w:hAnsi="Garamond" w:cs="Times New Roman"/>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2786075E"/>
    <w:multiLevelType w:val="hybridMultilevel"/>
    <w:tmpl w:val="B8AC321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15">
    <w:nsid w:val="2BFE700B"/>
    <w:multiLevelType w:val="hybridMultilevel"/>
    <w:tmpl w:val="3184DD7E"/>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16">
    <w:nsid w:val="2CB1432A"/>
    <w:multiLevelType w:val="hybridMultilevel"/>
    <w:tmpl w:val="DAB4EC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E89692B"/>
    <w:multiLevelType w:val="hybridMultilevel"/>
    <w:tmpl w:val="D696E06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1070B41"/>
    <w:multiLevelType w:val="hybridMultilevel"/>
    <w:tmpl w:val="E07820E0"/>
    <w:lvl w:ilvl="0" w:tplc="6E88F586">
      <w:numFmt w:val="bullet"/>
      <w:lvlText w:val="•"/>
      <w:lvlJc w:val="left"/>
      <w:pPr>
        <w:ind w:left="765" w:hanging="360"/>
      </w:pPr>
      <w:rPr>
        <w:rFonts w:ascii="Garamond" w:eastAsia="Times New Roman" w:hAnsi="Garamond" w:cs="SymbolMT"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9">
    <w:nsid w:val="338D6EAD"/>
    <w:multiLevelType w:val="singleLevel"/>
    <w:tmpl w:val="0C0A000F"/>
    <w:lvl w:ilvl="0">
      <w:start w:val="1"/>
      <w:numFmt w:val="decimal"/>
      <w:lvlText w:val="%1."/>
      <w:lvlJc w:val="left"/>
      <w:pPr>
        <w:tabs>
          <w:tab w:val="num" w:pos="360"/>
        </w:tabs>
        <w:ind w:left="360" w:hanging="360"/>
      </w:pPr>
    </w:lvl>
  </w:abstractNum>
  <w:abstractNum w:abstractNumId="20">
    <w:nsid w:val="3F1D7306"/>
    <w:multiLevelType w:val="hybridMultilevel"/>
    <w:tmpl w:val="03B6A84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21C602B"/>
    <w:multiLevelType w:val="hybridMultilevel"/>
    <w:tmpl w:val="2A2E9388"/>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2">
    <w:nsid w:val="42D352FF"/>
    <w:multiLevelType w:val="hybridMultilevel"/>
    <w:tmpl w:val="A826632A"/>
    <w:lvl w:ilvl="0" w:tplc="CD003910">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2F50567"/>
    <w:multiLevelType w:val="hybridMultilevel"/>
    <w:tmpl w:val="0408E0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04533B6"/>
    <w:multiLevelType w:val="hybridMultilevel"/>
    <w:tmpl w:val="8CA04ADE"/>
    <w:lvl w:ilvl="0" w:tplc="2C0A0001">
      <w:start w:val="1"/>
      <w:numFmt w:val="bullet"/>
      <w:lvlText w:val=""/>
      <w:lvlJc w:val="left"/>
      <w:pPr>
        <w:ind w:left="720" w:hanging="360"/>
      </w:pPr>
      <w:rPr>
        <w:rFonts w:ascii="Symbol" w:hAnsi="Symbol" w:hint="default"/>
      </w:rPr>
    </w:lvl>
    <w:lvl w:ilvl="1" w:tplc="B8A8AF58">
      <w:numFmt w:val="bullet"/>
      <w:lvlText w:val="-"/>
      <w:lvlJc w:val="left"/>
      <w:pPr>
        <w:tabs>
          <w:tab w:val="num" w:pos="1440"/>
        </w:tabs>
        <w:ind w:left="1440" w:hanging="360"/>
      </w:pPr>
      <w:rPr>
        <w:rFonts w:ascii="Times New Roman" w:eastAsia="Times New Roman" w:hAnsi="Times New Roman" w:cs="Times New Roman" w:hint="default"/>
        <w:b/>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5ED3DBD"/>
    <w:multiLevelType w:val="hybridMultilevel"/>
    <w:tmpl w:val="554013E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26">
    <w:nsid w:val="58C41D04"/>
    <w:multiLevelType w:val="hybridMultilevel"/>
    <w:tmpl w:val="94D6839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5A0237F6"/>
    <w:multiLevelType w:val="hybridMultilevel"/>
    <w:tmpl w:val="2490F7FC"/>
    <w:lvl w:ilvl="0" w:tplc="CD00391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F132D3C"/>
    <w:multiLevelType w:val="hybridMultilevel"/>
    <w:tmpl w:val="FFDAE7E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29">
    <w:nsid w:val="5F1F6907"/>
    <w:multiLevelType w:val="hybridMultilevel"/>
    <w:tmpl w:val="B7A4A776"/>
    <w:lvl w:ilvl="0" w:tplc="47284B14">
      <w:numFmt w:val="bullet"/>
      <w:lvlText w:val="•"/>
      <w:lvlJc w:val="left"/>
      <w:pPr>
        <w:ind w:left="720" w:hanging="360"/>
      </w:pPr>
      <w:rPr>
        <w:rFonts w:ascii="Cambria" w:eastAsia="Times New Roman" w:hAnsi="Cambria" w:cs="TrebuchetM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655823BA"/>
    <w:multiLevelType w:val="hybridMultilevel"/>
    <w:tmpl w:val="B712A59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31">
    <w:nsid w:val="68612BD5"/>
    <w:multiLevelType w:val="hybridMultilevel"/>
    <w:tmpl w:val="85F21D56"/>
    <w:lvl w:ilvl="0" w:tplc="1B3646E8">
      <w:numFmt w:val="bullet"/>
      <w:lvlText w:val="•"/>
      <w:lvlJc w:val="left"/>
      <w:pPr>
        <w:ind w:left="1068" w:hanging="360"/>
      </w:pPr>
      <w:rPr>
        <w:rFonts w:ascii="Garamond" w:eastAsia="Times New Roman" w:hAnsi="Garamond" w:cs="SymbolMT"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2">
    <w:nsid w:val="6CC64857"/>
    <w:multiLevelType w:val="hybridMultilevel"/>
    <w:tmpl w:val="0B307BE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3">
    <w:nsid w:val="6FB42011"/>
    <w:multiLevelType w:val="hybridMultilevel"/>
    <w:tmpl w:val="2BA6D4A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13546DC"/>
    <w:multiLevelType w:val="hybridMultilevel"/>
    <w:tmpl w:val="75942E1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360"/>
        </w:tabs>
        <w:ind w:left="360" w:hanging="360"/>
      </w:pPr>
      <w:rPr>
        <w:rFonts w:ascii="Wingdings" w:hAnsi="Wingdings" w:hint="default"/>
      </w:rPr>
    </w:lvl>
    <w:lvl w:ilvl="3" w:tplc="0C0A0001" w:tentative="1">
      <w:start w:val="1"/>
      <w:numFmt w:val="bullet"/>
      <w:lvlText w:val=""/>
      <w:lvlJc w:val="left"/>
      <w:pPr>
        <w:tabs>
          <w:tab w:val="num" w:pos="1080"/>
        </w:tabs>
        <w:ind w:left="1080" w:hanging="360"/>
      </w:pPr>
      <w:rPr>
        <w:rFonts w:ascii="Symbol" w:hAnsi="Symbol" w:hint="default"/>
      </w:rPr>
    </w:lvl>
    <w:lvl w:ilvl="4" w:tplc="0C0A0003" w:tentative="1">
      <w:start w:val="1"/>
      <w:numFmt w:val="bullet"/>
      <w:lvlText w:val="o"/>
      <w:lvlJc w:val="left"/>
      <w:pPr>
        <w:tabs>
          <w:tab w:val="num" w:pos="1800"/>
        </w:tabs>
        <w:ind w:left="1800" w:hanging="360"/>
      </w:pPr>
      <w:rPr>
        <w:rFonts w:ascii="Courier New" w:hAnsi="Courier New" w:hint="default"/>
      </w:rPr>
    </w:lvl>
    <w:lvl w:ilvl="5" w:tplc="0C0A0005" w:tentative="1">
      <w:start w:val="1"/>
      <w:numFmt w:val="bullet"/>
      <w:lvlText w:val=""/>
      <w:lvlJc w:val="left"/>
      <w:pPr>
        <w:tabs>
          <w:tab w:val="num" w:pos="2520"/>
        </w:tabs>
        <w:ind w:left="2520" w:hanging="360"/>
      </w:pPr>
      <w:rPr>
        <w:rFonts w:ascii="Wingdings" w:hAnsi="Wingdings" w:hint="default"/>
      </w:rPr>
    </w:lvl>
    <w:lvl w:ilvl="6" w:tplc="0C0A0001" w:tentative="1">
      <w:start w:val="1"/>
      <w:numFmt w:val="bullet"/>
      <w:lvlText w:val=""/>
      <w:lvlJc w:val="left"/>
      <w:pPr>
        <w:tabs>
          <w:tab w:val="num" w:pos="3240"/>
        </w:tabs>
        <w:ind w:left="3240" w:hanging="360"/>
      </w:pPr>
      <w:rPr>
        <w:rFonts w:ascii="Symbol" w:hAnsi="Symbol" w:hint="default"/>
      </w:rPr>
    </w:lvl>
    <w:lvl w:ilvl="7" w:tplc="0C0A0003" w:tentative="1">
      <w:start w:val="1"/>
      <w:numFmt w:val="bullet"/>
      <w:lvlText w:val="o"/>
      <w:lvlJc w:val="left"/>
      <w:pPr>
        <w:tabs>
          <w:tab w:val="num" w:pos="3960"/>
        </w:tabs>
        <w:ind w:left="3960" w:hanging="360"/>
      </w:pPr>
      <w:rPr>
        <w:rFonts w:ascii="Courier New" w:hAnsi="Courier New" w:hint="default"/>
      </w:rPr>
    </w:lvl>
    <w:lvl w:ilvl="8" w:tplc="0C0A0005" w:tentative="1">
      <w:start w:val="1"/>
      <w:numFmt w:val="bullet"/>
      <w:lvlText w:val=""/>
      <w:lvlJc w:val="left"/>
      <w:pPr>
        <w:tabs>
          <w:tab w:val="num" w:pos="4680"/>
        </w:tabs>
        <w:ind w:left="4680" w:hanging="360"/>
      </w:pPr>
      <w:rPr>
        <w:rFonts w:ascii="Wingdings" w:hAnsi="Wingdings" w:hint="default"/>
      </w:rPr>
    </w:lvl>
  </w:abstractNum>
  <w:abstractNum w:abstractNumId="35">
    <w:nsid w:val="71B63172"/>
    <w:multiLevelType w:val="hybridMultilevel"/>
    <w:tmpl w:val="CF6CDA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2FB5EED"/>
    <w:multiLevelType w:val="hybridMultilevel"/>
    <w:tmpl w:val="E82219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745F3012"/>
    <w:multiLevelType w:val="hybridMultilevel"/>
    <w:tmpl w:val="A5A89D4E"/>
    <w:lvl w:ilvl="0" w:tplc="CD00391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7745E29"/>
    <w:multiLevelType w:val="hybridMultilevel"/>
    <w:tmpl w:val="A1F0FF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ADD354A"/>
    <w:multiLevelType w:val="hybridMultilevel"/>
    <w:tmpl w:val="287EC072"/>
    <w:lvl w:ilvl="0" w:tplc="CD00391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ECF0E30"/>
    <w:multiLevelType w:val="hybridMultilevel"/>
    <w:tmpl w:val="16D8BE4C"/>
    <w:lvl w:ilvl="0" w:tplc="0C0A0005">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7"/>
  </w:num>
  <w:num w:numId="3">
    <w:abstractNumId w:val="8"/>
  </w:num>
  <w:num w:numId="4">
    <w:abstractNumId w:val="39"/>
  </w:num>
  <w:num w:numId="5">
    <w:abstractNumId w:val="22"/>
  </w:num>
  <w:num w:numId="6">
    <w:abstractNumId w:val="27"/>
  </w:num>
  <w:num w:numId="7">
    <w:abstractNumId w:val="12"/>
  </w:num>
  <w:num w:numId="8">
    <w:abstractNumId w:val="28"/>
  </w:num>
  <w:num w:numId="9">
    <w:abstractNumId w:val="11"/>
  </w:num>
  <w:num w:numId="10">
    <w:abstractNumId w:val="14"/>
  </w:num>
  <w:num w:numId="11">
    <w:abstractNumId w:val="34"/>
  </w:num>
  <w:num w:numId="12">
    <w:abstractNumId w:val="25"/>
  </w:num>
  <w:num w:numId="13">
    <w:abstractNumId w:val="30"/>
  </w:num>
  <w:num w:numId="14">
    <w:abstractNumId w:val="40"/>
  </w:num>
  <w:num w:numId="15">
    <w:abstractNumId w:val="2"/>
  </w:num>
  <w:num w:numId="16">
    <w:abstractNumId w:val="1"/>
  </w:num>
  <w:num w:numId="17">
    <w:abstractNumId w:val="20"/>
  </w:num>
  <w:num w:numId="18">
    <w:abstractNumId w:val="9"/>
  </w:num>
  <w:num w:numId="19">
    <w:abstractNumId w:val="3"/>
  </w:num>
  <w:num w:numId="20">
    <w:abstractNumId w:val="7"/>
  </w:num>
  <w:num w:numId="21">
    <w:abstractNumId w:val="38"/>
  </w:num>
  <w:num w:numId="22">
    <w:abstractNumId w:val="16"/>
  </w:num>
  <w:num w:numId="23">
    <w:abstractNumId w:val="15"/>
  </w:num>
  <w:num w:numId="24">
    <w:abstractNumId w:val="5"/>
  </w:num>
  <w:num w:numId="25">
    <w:abstractNumId w:val="18"/>
  </w:num>
  <w:num w:numId="26">
    <w:abstractNumId w:val="21"/>
  </w:num>
  <w:num w:numId="27">
    <w:abstractNumId w:val="10"/>
  </w:num>
  <w:num w:numId="28">
    <w:abstractNumId w:val="31"/>
  </w:num>
  <w:num w:numId="29">
    <w:abstractNumId w:val="32"/>
  </w:num>
  <w:num w:numId="30">
    <w:abstractNumId w:val="6"/>
  </w:num>
  <w:num w:numId="31">
    <w:abstractNumId w:val="13"/>
  </w:num>
  <w:num w:numId="32">
    <w:abstractNumId w:val="36"/>
  </w:num>
  <w:num w:numId="33">
    <w:abstractNumId w:val="4"/>
  </w:num>
  <w:num w:numId="34">
    <w:abstractNumId w:val="17"/>
  </w:num>
  <w:num w:numId="35">
    <w:abstractNumId w:val="29"/>
  </w:num>
  <w:num w:numId="36">
    <w:abstractNumId w:val="35"/>
  </w:num>
  <w:num w:numId="37">
    <w:abstractNumId w:val="33"/>
  </w:num>
  <w:num w:numId="38">
    <w:abstractNumId w:val="26"/>
  </w:num>
  <w:num w:numId="39">
    <w:abstractNumId w:val="23"/>
  </w:num>
  <w:num w:numId="40">
    <w:abstractNumId w:val="24"/>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rsids>
    <w:rsidRoot w:val="00C02442"/>
    <w:rsid w:val="00000705"/>
    <w:rsid w:val="00004E34"/>
    <w:rsid w:val="00010128"/>
    <w:rsid w:val="000121F1"/>
    <w:rsid w:val="0001234D"/>
    <w:rsid w:val="0001603D"/>
    <w:rsid w:val="000228DA"/>
    <w:rsid w:val="00023791"/>
    <w:rsid w:val="00024974"/>
    <w:rsid w:val="00025257"/>
    <w:rsid w:val="00027ADB"/>
    <w:rsid w:val="00032D1C"/>
    <w:rsid w:val="00034BCE"/>
    <w:rsid w:val="0004144C"/>
    <w:rsid w:val="00042FC8"/>
    <w:rsid w:val="00046085"/>
    <w:rsid w:val="000476C9"/>
    <w:rsid w:val="00047760"/>
    <w:rsid w:val="00050678"/>
    <w:rsid w:val="00050ECE"/>
    <w:rsid w:val="00050F5D"/>
    <w:rsid w:val="00051BC8"/>
    <w:rsid w:val="00053740"/>
    <w:rsid w:val="000553CE"/>
    <w:rsid w:val="000559BD"/>
    <w:rsid w:val="00056760"/>
    <w:rsid w:val="000648A6"/>
    <w:rsid w:val="00066B97"/>
    <w:rsid w:val="00067DE8"/>
    <w:rsid w:val="000707CB"/>
    <w:rsid w:val="00073827"/>
    <w:rsid w:val="0007485E"/>
    <w:rsid w:val="000766CF"/>
    <w:rsid w:val="00076790"/>
    <w:rsid w:val="00076CBF"/>
    <w:rsid w:val="00076D4A"/>
    <w:rsid w:val="00080409"/>
    <w:rsid w:val="000847E5"/>
    <w:rsid w:val="00084D39"/>
    <w:rsid w:val="000877EF"/>
    <w:rsid w:val="000879E3"/>
    <w:rsid w:val="00087C58"/>
    <w:rsid w:val="00087EBE"/>
    <w:rsid w:val="00090492"/>
    <w:rsid w:val="00091B2A"/>
    <w:rsid w:val="00091E97"/>
    <w:rsid w:val="00094A4D"/>
    <w:rsid w:val="000A0611"/>
    <w:rsid w:val="000A1F61"/>
    <w:rsid w:val="000A2C42"/>
    <w:rsid w:val="000A4E90"/>
    <w:rsid w:val="000A52F3"/>
    <w:rsid w:val="000B0D36"/>
    <w:rsid w:val="000B1F6B"/>
    <w:rsid w:val="000B2BDF"/>
    <w:rsid w:val="000B2C59"/>
    <w:rsid w:val="000B536E"/>
    <w:rsid w:val="000B7F5D"/>
    <w:rsid w:val="000C0432"/>
    <w:rsid w:val="000C47CF"/>
    <w:rsid w:val="000C576A"/>
    <w:rsid w:val="000C61A9"/>
    <w:rsid w:val="000C647D"/>
    <w:rsid w:val="000C6BEE"/>
    <w:rsid w:val="000C6DC0"/>
    <w:rsid w:val="000D1278"/>
    <w:rsid w:val="000D2C17"/>
    <w:rsid w:val="000D6938"/>
    <w:rsid w:val="000D736C"/>
    <w:rsid w:val="000D7EA9"/>
    <w:rsid w:val="000E073C"/>
    <w:rsid w:val="000E3F28"/>
    <w:rsid w:val="000E679E"/>
    <w:rsid w:val="000E6C35"/>
    <w:rsid w:val="000E7151"/>
    <w:rsid w:val="000E754D"/>
    <w:rsid w:val="000F6232"/>
    <w:rsid w:val="000F7103"/>
    <w:rsid w:val="001005D9"/>
    <w:rsid w:val="00100764"/>
    <w:rsid w:val="00103460"/>
    <w:rsid w:val="00112D29"/>
    <w:rsid w:val="00112F03"/>
    <w:rsid w:val="001146F9"/>
    <w:rsid w:val="00114884"/>
    <w:rsid w:val="00115D86"/>
    <w:rsid w:val="00116E2F"/>
    <w:rsid w:val="00123066"/>
    <w:rsid w:val="00124FB5"/>
    <w:rsid w:val="00127D32"/>
    <w:rsid w:val="001329D3"/>
    <w:rsid w:val="00133103"/>
    <w:rsid w:val="001353C7"/>
    <w:rsid w:val="00140CB5"/>
    <w:rsid w:val="00143059"/>
    <w:rsid w:val="0015323F"/>
    <w:rsid w:val="00153EBF"/>
    <w:rsid w:val="00154E9F"/>
    <w:rsid w:val="00157858"/>
    <w:rsid w:val="00157B52"/>
    <w:rsid w:val="0016002F"/>
    <w:rsid w:val="0016159D"/>
    <w:rsid w:val="00163800"/>
    <w:rsid w:val="00164F63"/>
    <w:rsid w:val="00166957"/>
    <w:rsid w:val="00171933"/>
    <w:rsid w:val="00180B56"/>
    <w:rsid w:val="00181891"/>
    <w:rsid w:val="001829C7"/>
    <w:rsid w:val="00184321"/>
    <w:rsid w:val="00190ABF"/>
    <w:rsid w:val="00192F8D"/>
    <w:rsid w:val="001975EC"/>
    <w:rsid w:val="001A2F16"/>
    <w:rsid w:val="001A306C"/>
    <w:rsid w:val="001A586C"/>
    <w:rsid w:val="001A7EC5"/>
    <w:rsid w:val="001B164D"/>
    <w:rsid w:val="001B1FDD"/>
    <w:rsid w:val="001B2676"/>
    <w:rsid w:val="001B2F45"/>
    <w:rsid w:val="001B304E"/>
    <w:rsid w:val="001B42E0"/>
    <w:rsid w:val="001B53AA"/>
    <w:rsid w:val="001B6D5E"/>
    <w:rsid w:val="001B6DFA"/>
    <w:rsid w:val="001B7FB1"/>
    <w:rsid w:val="001C1D74"/>
    <w:rsid w:val="001C3F54"/>
    <w:rsid w:val="001C5DAE"/>
    <w:rsid w:val="001D02AF"/>
    <w:rsid w:val="001D1D55"/>
    <w:rsid w:val="001D2D7D"/>
    <w:rsid w:val="001D40D2"/>
    <w:rsid w:val="001D6B53"/>
    <w:rsid w:val="001E0587"/>
    <w:rsid w:val="001E3FAD"/>
    <w:rsid w:val="001F03EE"/>
    <w:rsid w:val="001F0EBA"/>
    <w:rsid w:val="001F0FC2"/>
    <w:rsid w:val="001F620C"/>
    <w:rsid w:val="001F6234"/>
    <w:rsid w:val="00203836"/>
    <w:rsid w:val="00205BD4"/>
    <w:rsid w:val="002064A2"/>
    <w:rsid w:val="002077A2"/>
    <w:rsid w:val="00207E95"/>
    <w:rsid w:val="00210B30"/>
    <w:rsid w:val="002114B8"/>
    <w:rsid w:val="002122F6"/>
    <w:rsid w:val="00212DDC"/>
    <w:rsid w:val="00213E91"/>
    <w:rsid w:val="00215002"/>
    <w:rsid w:val="002161B3"/>
    <w:rsid w:val="0022652D"/>
    <w:rsid w:val="00227680"/>
    <w:rsid w:val="00230D01"/>
    <w:rsid w:val="00230F48"/>
    <w:rsid w:val="00231460"/>
    <w:rsid w:val="0023306E"/>
    <w:rsid w:val="002353A4"/>
    <w:rsid w:val="00235F0A"/>
    <w:rsid w:val="00237DAF"/>
    <w:rsid w:val="00240344"/>
    <w:rsid w:val="00240FB5"/>
    <w:rsid w:val="0024275B"/>
    <w:rsid w:val="00243CF1"/>
    <w:rsid w:val="0024469F"/>
    <w:rsid w:val="00250D21"/>
    <w:rsid w:val="00253876"/>
    <w:rsid w:val="00254F11"/>
    <w:rsid w:val="00256096"/>
    <w:rsid w:val="00257514"/>
    <w:rsid w:val="002622CE"/>
    <w:rsid w:val="00262BC9"/>
    <w:rsid w:val="0026408E"/>
    <w:rsid w:val="00264F24"/>
    <w:rsid w:val="002659C7"/>
    <w:rsid w:val="00266359"/>
    <w:rsid w:val="002676CC"/>
    <w:rsid w:val="0027049C"/>
    <w:rsid w:val="002705AB"/>
    <w:rsid w:val="00271E3E"/>
    <w:rsid w:val="00272281"/>
    <w:rsid w:val="002733B9"/>
    <w:rsid w:val="0027357D"/>
    <w:rsid w:val="002735C3"/>
    <w:rsid w:val="00273CE1"/>
    <w:rsid w:val="00274F29"/>
    <w:rsid w:val="00275E56"/>
    <w:rsid w:val="00277CCB"/>
    <w:rsid w:val="00282003"/>
    <w:rsid w:val="00282650"/>
    <w:rsid w:val="002840B3"/>
    <w:rsid w:val="00284111"/>
    <w:rsid w:val="00286D8D"/>
    <w:rsid w:val="00286F70"/>
    <w:rsid w:val="002871B4"/>
    <w:rsid w:val="00293FB6"/>
    <w:rsid w:val="00297FA7"/>
    <w:rsid w:val="002A08CA"/>
    <w:rsid w:val="002A5ADF"/>
    <w:rsid w:val="002B0C57"/>
    <w:rsid w:val="002B54CC"/>
    <w:rsid w:val="002C186B"/>
    <w:rsid w:val="002C31B3"/>
    <w:rsid w:val="002C410E"/>
    <w:rsid w:val="002C4BAA"/>
    <w:rsid w:val="002C5494"/>
    <w:rsid w:val="002C5EE7"/>
    <w:rsid w:val="002D06F2"/>
    <w:rsid w:val="002D256C"/>
    <w:rsid w:val="002D573A"/>
    <w:rsid w:val="002D7D1B"/>
    <w:rsid w:val="002E4264"/>
    <w:rsid w:val="002E471F"/>
    <w:rsid w:val="002E5019"/>
    <w:rsid w:val="002E5647"/>
    <w:rsid w:val="002F0241"/>
    <w:rsid w:val="002F344A"/>
    <w:rsid w:val="00301A41"/>
    <w:rsid w:val="003047B4"/>
    <w:rsid w:val="00306627"/>
    <w:rsid w:val="00310089"/>
    <w:rsid w:val="00312A23"/>
    <w:rsid w:val="00316829"/>
    <w:rsid w:val="00317C0B"/>
    <w:rsid w:val="00324A2E"/>
    <w:rsid w:val="00325535"/>
    <w:rsid w:val="00334CC2"/>
    <w:rsid w:val="00336F8D"/>
    <w:rsid w:val="00337E06"/>
    <w:rsid w:val="0034153D"/>
    <w:rsid w:val="003434CD"/>
    <w:rsid w:val="0034402E"/>
    <w:rsid w:val="00345250"/>
    <w:rsid w:val="0034762D"/>
    <w:rsid w:val="003521FF"/>
    <w:rsid w:val="00356E34"/>
    <w:rsid w:val="0035707A"/>
    <w:rsid w:val="003613D3"/>
    <w:rsid w:val="00361F41"/>
    <w:rsid w:val="00363E45"/>
    <w:rsid w:val="003643D8"/>
    <w:rsid w:val="00364B58"/>
    <w:rsid w:val="00365F23"/>
    <w:rsid w:val="0036670F"/>
    <w:rsid w:val="00370435"/>
    <w:rsid w:val="0037094D"/>
    <w:rsid w:val="003712C2"/>
    <w:rsid w:val="00371353"/>
    <w:rsid w:val="003717A6"/>
    <w:rsid w:val="003735E3"/>
    <w:rsid w:val="003762AC"/>
    <w:rsid w:val="0038037E"/>
    <w:rsid w:val="00383D67"/>
    <w:rsid w:val="00384C21"/>
    <w:rsid w:val="003856FF"/>
    <w:rsid w:val="003874F0"/>
    <w:rsid w:val="00390623"/>
    <w:rsid w:val="00390935"/>
    <w:rsid w:val="00393ED1"/>
    <w:rsid w:val="00397874"/>
    <w:rsid w:val="003A165C"/>
    <w:rsid w:val="003A398D"/>
    <w:rsid w:val="003A4C3E"/>
    <w:rsid w:val="003A4D62"/>
    <w:rsid w:val="003A6CD4"/>
    <w:rsid w:val="003B0421"/>
    <w:rsid w:val="003B2724"/>
    <w:rsid w:val="003B680F"/>
    <w:rsid w:val="003C01F3"/>
    <w:rsid w:val="003C1B5A"/>
    <w:rsid w:val="003C1D86"/>
    <w:rsid w:val="003C2E0B"/>
    <w:rsid w:val="003C3FDD"/>
    <w:rsid w:val="003C4DFD"/>
    <w:rsid w:val="003C5A38"/>
    <w:rsid w:val="003C766E"/>
    <w:rsid w:val="003D066B"/>
    <w:rsid w:val="003D0D5F"/>
    <w:rsid w:val="003D3392"/>
    <w:rsid w:val="003D42C7"/>
    <w:rsid w:val="003E0E7F"/>
    <w:rsid w:val="003E155C"/>
    <w:rsid w:val="003E23A2"/>
    <w:rsid w:val="003E33AE"/>
    <w:rsid w:val="003E46FC"/>
    <w:rsid w:val="003E55C1"/>
    <w:rsid w:val="003E7DF2"/>
    <w:rsid w:val="003F2C65"/>
    <w:rsid w:val="003F4349"/>
    <w:rsid w:val="003F477A"/>
    <w:rsid w:val="003F7C39"/>
    <w:rsid w:val="004012D8"/>
    <w:rsid w:val="004025E9"/>
    <w:rsid w:val="00403BDD"/>
    <w:rsid w:val="00407D5A"/>
    <w:rsid w:val="00407E73"/>
    <w:rsid w:val="00410E65"/>
    <w:rsid w:val="00411615"/>
    <w:rsid w:val="0041177E"/>
    <w:rsid w:val="00414121"/>
    <w:rsid w:val="0041540D"/>
    <w:rsid w:val="004201C4"/>
    <w:rsid w:val="00420D64"/>
    <w:rsid w:val="0042154C"/>
    <w:rsid w:val="00422573"/>
    <w:rsid w:val="0042575F"/>
    <w:rsid w:val="00426710"/>
    <w:rsid w:val="00427CC5"/>
    <w:rsid w:val="00430387"/>
    <w:rsid w:val="004325ED"/>
    <w:rsid w:val="00433A27"/>
    <w:rsid w:val="00436214"/>
    <w:rsid w:val="00436D16"/>
    <w:rsid w:val="0043739E"/>
    <w:rsid w:val="004401F5"/>
    <w:rsid w:val="00442D0E"/>
    <w:rsid w:val="00443023"/>
    <w:rsid w:val="004522B8"/>
    <w:rsid w:val="004535F0"/>
    <w:rsid w:val="004549E4"/>
    <w:rsid w:val="00456923"/>
    <w:rsid w:val="00456DD4"/>
    <w:rsid w:val="00457A06"/>
    <w:rsid w:val="00461285"/>
    <w:rsid w:val="0046236F"/>
    <w:rsid w:val="004634EA"/>
    <w:rsid w:val="004635BC"/>
    <w:rsid w:val="00463E31"/>
    <w:rsid w:val="004649DF"/>
    <w:rsid w:val="00465714"/>
    <w:rsid w:val="00466119"/>
    <w:rsid w:val="004666F1"/>
    <w:rsid w:val="00467031"/>
    <w:rsid w:val="00471998"/>
    <w:rsid w:val="004746AE"/>
    <w:rsid w:val="0047778D"/>
    <w:rsid w:val="004830B3"/>
    <w:rsid w:val="004901E3"/>
    <w:rsid w:val="004943C6"/>
    <w:rsid w:val="00494EB7"/>
    <w:rsid w:val="0049774B"/>
    <w:rsid w:val="004A0B98"/>
    <w:rsid w:val="004A12E7"/>
    <w:rsid w:val="004A1D9E"/>
    <w:rsid w:val="004B2850"/>
    <w:rsid w:val="004B3005"/>
    <w:rsid w:val="004B33EC"/>
    <w:rsid w:val="004B47A0"/>
    <w:rsid w:val="004B50CC"/>
    <w:rsid w:val="004B55DF"/>
    <w:rsid w:val="004B6434"/>
    <w:rsid w:val="004B71AE"/>
    <w:rsid w:val="004C001A"/>
    <w:rsid w:val="004C2A0C"/>
    <w:rsid w:val="004C2C5C"/>
    <w:rsid w:val="004C30D0"/>
    <w:rsid w:val="004C46A7"/>
    <w:rsid w:val="004C5EE6"/>
    <w:rsid w:val="004D0B9A"/>
    <w:rsid w:val="004D6F28"/>
    <w:rsid w:val="004E162C"/>
    <w:rsid w:val="004E365A"/>
    <w:rsid w:val="004E53B3"/>
    <w:rsid w:val="004E58BC"/>
    <w:rsid w:val="004E67A3"/>
    <w:rsid w:val="004E6BCB"/>
    <w:rsid w:val="004F0511"/>
    <w:rsid w:val="004F2317"/>
    <w:rsid w:val="004F376F"/>
    <w:rsid w:val="004F4CF0"/>
    <w:rsid w:val="004F6669"/>
    <w:rsid w:val="005016AD"/>
    <w:rsid w:val="00507206"/>
    <w:rsid w:val="00507A0D"/>
    <w:rsid w:val="00514378"/>
    <w:rsid w:val="005168AD"/>
    <w:rsid w:val="0052022F"/>
    <w:rsid w:val="005208A5"/>
    <w:rsid w:val="00522C67"/>
    <w:rsid w:val="005300C0"/>
    <w:rsid w:val="005313ED"/>
    <w:rsid w:val="00531B4C"/>
    <w:rsid w:val="005330A3"/>
    <w:rsid w:val="00533E22"/>
    <w:rsid w:val="00534116"/>
    <w:rsid w:val="005378E8"/>
    <w:rsid w:val="00544008"/>
    <w:rsid w:val="00546F3A"/>
    <w:rsid w:val="00546F81"/>
    <w:rsid w:val="005471F8"/>
    <w:rsid w:val="00551B47"/>
    <w:rsid w:val="00552FA7"/>
    <w:rsid w:val="00553642"/>
    <w:rsid w:val="00553711"/>
    <w:rsid w:val="005621AE"/>
    <w:rsid w:val="00562E20"/>
    <w:rsid w:val="005631E0"/>
    <w:rsid w:val="00563A4D"/>
    <w:rsid w:val="005640E6"/>
    <w:rsid w:val="005651F9"/>
    <w:rsid w:val="00566493"/>
    <w:rsid w:val="005673C9"/>
    <w:rsid w:val="00570741"/>
    <w:rsid w:val="00571A80"/>
    <w:rsid w:val="005732F0"/>
    <w:rsid w:val="0057368F"/>
    <w:rsid w:val="00573743"/>
    <w:rsid w:val="005744E0"/>
    <w:rsid w:val="00576975"/>
    <w:rsid w:val="005770CA"/>
    <w:rsid w:val="005778CA"/>
    <w:rsid w:val="0058065F"/>
    <w:rsid w:val="00580775"/>
    <w:rsid w:val="00581758"/>
    <w:rsid w:val="0058543A"/>
    <w:rsid w:val="0058736B"/>
    <w:rsid w:val="005932B8"/>
    <w:rsid w:val="005A1749"/>
    <w:rsid w:val="005A1889"/>
    <w:rsid w:val="005A4C3E"/>
    <w:rsid w:val="005B0848"/>
    <w:rsid w:val="005B16B0"/>
    <w:rsid w:val="005B3C3C"/>
    <w:rsid w:val="005B4B6C"/>
    <w:rsid w:val="005B53F0"/>
    <w:rsid w:val="005C25A9"/>
    <w:rsid w:val="005C3635"/>
    <w:rsid w:val="005C4C06"/>
    <w:rsid w:val="005C7EE6"/>
    <w:rsid w:val="005D00DF"/>
    <w:rsid w:val="005D10D4"/>
    <w:rsid w:val="005D6B4A"/>
    <w:rsid w:val="005E4413"/>
    <w:rsid w:val="005E5676"/>
    <w:rsid w:val="005E5D4A"/>
    <w:rsid w:val="005E77A4"/>
    <w:rsid w:val="005F1844"/>
    <w:rsid w:val="005F23CC"/>
    <w:rsid w:val="005F35B6"/>
    <w:rsid w:val="005F4150"/>
    <w:rsid w:val="005F6076"/>
    <w:rsid w:val="005F6EBF"/>
    <w:rsid w:val="006067ED"/>
    <w:rsid w:val="00606D0E"/>
    <w:rsid w:val="00607773"/>
    <w:rsid w:val="00611D53"/>
    <w:rsid w:val="00614456"/>
    <w:rsid w:val="00615C62"/>
    <w:rsid w:val="00621FC8"/>
    <w:rsid w:val="00623606"/>
    <w:rsid w:val="00624ECE"/>
    <w:rsid w:val="006262E1"/>
    <w:rsid w:val="00626702"/>
    <w:rsid w:val="00630D59"/>
    <w:rsid w:val="00633ABE"/>
    <w:rsid w:val="00634750"/>
    <w:rsid w:val="00636DB4"/>
    <w:rsid w:val="00636F41"/>
    <w:rsid w:val="006428FA"/>
    <w:rsid w:val="00643050"/>
    <w:rsid w:val="00643A07"/>
    <w:rsid w:val="00643B84"/>
    <w:rsid w:val="00646ED6"/>
    <w:rsid w:val="0064737B"/>
    <w:rsid w:val="00647B7D"/>
    <w:rsid w:val="006513E7"/>
    <w:rsid w:val="0065249E"/>
    <w:rsid w:val="00656C48"/>
    <w:rsid w:val="00663842"/>
    <w:rsid w:val="00672865"/>
    <w:rsid w:val="00674BEA"/>
    <w:rsid w:val="0067583D"/>
    <w:rsid w:val="00675CDA"/>
    <w:rsid w:val="00677453"/>
    <w:rsid w:val="00684223"/>
    <w:rsid w:val="0068690B"/>
    <w:rsid w:val="006869D7"/>
    <w:rsid w:val="00687BA5"/>
    <w:rsid w:val="00692C51"/>
    <w:rsid w:val="00695BAE"/>
    <w:rsid w:val="00695BB2"/>
    <w:rsid w:val="00696F6A"/>
    <w:rsid w:val="006A0DF8"/>
    <w:rsid w:val="006A0F67"/>
    <w:rsid w:val="006A36A2"/>
    <w:rsid w:val="006A5108"/>
    <w:rsid w:val="006A59B0"/>
    <w:rsid w:val="006A78FB"/>
    <w:rsid w:val="006A7D7C"/>
    <w:rsid w:val="006B3288"/>
    <w:rsid w:val="006B335F"/>
    <w:rsid w:val="006B5E59"/>
    <w:rsid w:val="006C0965"/>
    <w:rsid w:val="006C2673"/>
    <w:rsid w:val="006C644D"/>
    <w:rsid w:val="006C64B7"/>
    <w:rsid w:val="006D2118"/>
    <w:rsid w:val="006D29BF"/>
    <w:rsid w:val="006D3E2F"/>
    <w:rsid w:val="006D44E0"/>
    <w:rsid w:val="006D5669"/>
    <w:rsid w:val="006D57CF"/>
    <w:rsid w:val="006E2772"/>
    <w:rsid w:val="006E3CDF"/>
    <w:rsid w:val="006E47D6"/>
    <w:rsid w:val="006E6E88"/>
    <w:rsid w:val="006E7CE5"/>
    <w:rsid w:val="006F004E"/>
    <w:rsid w:val="006F0929"/>
    <w:rsid w:val="006F3411"/>
    <w:rsid w:val="006F3AAB"/>
    <w:rsid w:val="006F4060"/>
    <w:rsid w:val="006F5783"/>
    <w:rsid w:val="006F5D26"/>
    <w:rsid w:val="006F662C"/>
    <w:rsid w:val="007008DA"/>
    <w:rsid w:val="00700A7E"/>
    <w:rsid w:val="007019BC"/>
    <w:rsid w:val="00702244"/>
    <w:rsid w:val="00704478"/>
    <w:rsid w:val="00706CEC"/>
    <w:rsid w:val="007071E2"/>
    <w:rsid w:val="007104F4"/>
    <w:rsid w:val="00711A0F"/>
    <w:rsid w:val="00711C4F"/>
    <w:rsid w:val="0071357A"/>
    <w:rsid w:val="0071604B"/>
    <w:rsid w:val="00720CA9"/>
    <w:rsid w:val="0072391C"/>
    <w:rsid w:val="00724F89"/>
    <w:rsid w:val="00725B9A"/>
    <w:rsid w:val="00725D5F"/>
    <w:rsid w:val="00727344"/>
    <w:rsid w:val="00733888"/>
    <w:rsid w:val="00733A65"/>
    <w:rsid w:val="00733E88"/>
    <w:rsid w:val="00736693"/>
    <w:rsid w:val="0073725B"/>
    <w:rsid w:val="00737878"/>
    <w:rsid w:val="00740273"/>
    <w:rsid w:val="007453D3"/>
    <w:rsid w:val="007466E8"/>
    <w:rsid w:val="00746BF0"/>
    <w:rsid w:val="0075051F"/>
    <w:rsid w:val="00751A8B"/>
    <w:rsid w:val="007540BE"/>
    <w:rsid w:val="007540E9"/>
    <w:rsid w:val="00755F30"/>
    <w:rsid w:val="00756761"/>
    <w:rsid w:val="007573A9"/>
    <w:rsid w:val="007575B7"/>
    <w:rsid w:val="00760226"/>
    <w:rsid w:val="00760F97"/>
    <w:rsid w:val="00765E7F"/>
    <w:rsid w:val="007661CF"/>
    <w:rsid w:val="00767329"/>
    <w:rsid w:val="00770DEE"/>
    <w:rsid w:val="007720CB"/>
    <w:rsid w:val="0077238A"/>
    <w:rsid w:val="0077324A"/>
    <w:rsid w:val="00774511"/>
    <w:rsid w:val="00774A3B"/>
    <w:rsid w:val="0078234A"/>
    <w:rsid w:val="007841EC"/>
    <w:rsid w:val="007900BF"/>
    <w:rsid w:val="00790D86"/>
    <w:rsid w:val="00792E51"/>
    <w:rsid w:val="007A3514"/>
    <w:rsid w:val="007A38D0"/>
    <w:rsid w:val="007A50AF"/>
    <w:rsid w:val="007A6500"/>
    <w:rsid w:val="007A7F6C"/>
    <w:rsid w:val="007B1DEA"/>
    <w:rsid w:val="007B401D"/>
    <w:rsid w:val="007B571E"/>
    <w:rsid w:val="007B5754"/>
    <w:rsid w:val="007B575A"/>
    <w:rsid w:val="007B752D"/>
    <w:rsid w:val="007C3F03"/>
    <w:rsid w:val="007C5480"/>
    <w:rsid w:val="007C58CB"/>
    <w:rsid w:val="007C6258"/>
    <w:rsid w:val="007D00DA"/>
    <w:rsid w:val="007D03A4"/>
    <w:rsid w:val="007D3689"/>
    <w:rsid w:val="007D4882"/>
    <w:rsid w:val="007D6B32"/>
    <w:rsid w:val="007E2925"/>
    <w:rsid w:val="007E4536"/>
    <w:rsid w:val="007E6F58"/>
    <w:rsid w:val="007F0ECE"/>
    <w:rsid w:val="007F209A"/>
    <w:rsid w:val="007F2521"/>
    <w:rsid w:val="007F69D1"/>
    <w:rsid w:val="007F6DE1"/>
    <w:rsid w:val="007F7487"/>
    <w:rsid w:val="00804CEE"/>
    <w:rsid w:val="00812431"/>
    <w:rsid w:val="00813561"/>
    <w:rsid w:val="00814C25"/>
    <w:rsid w:val="0082196B"/>
    <w:rsid w:val="008229B0"/>
    <w:rsid w:val="00826060"/>
    <w:rsid w:val="00830D33"/>
    <w:rsid w:val="00831FF4"/>
    <w:rsid w:val="008342D3"/>
    <w:rsid w:val="00843002"/>
    <w:rsid w:val="00860B6D"/>
    <w:rsid w:val="0086106B"/>
    <w:rsid w:val="00861F8C"/>
    <w:rsid w:val="00862695"/>
    <w:rsid w:val="008633DC"/>
    <w:rsid w:val="0086386D"/>
    <w:rsid w:val="00864937"/>
    <w:rsid w:val="0086582B"/>
    <w:rsid w:val="008707B3"/>
    <w:rsid w:val="00872D1A"/>
    <w:rsid w:val="00873E95"/>
    <w:rsid w:val="008750FB"/>
    <w:rsid w:val="00881A10"/>
    <w:rsid w:val="0088326F"/>
    <w:rsid w:val="00887C4D"/>
    <w:rsid w:val="00890CCD"/>
    <w:rsid w:val="00892805"/>
    <w:rsid w:val="00892AF5"/>
    <w:rsid w:val="00894925"/>
    <w:rsid w:val="008961CE"/>
    <w:rsid w:val="00897C33"/>
    <w:rsid w:val="00897DDF"/>
    <w:rsid w:val="008A1F4A"/>
    <w:rsid w:val="008A1F58"/>
    <w:rsid w:val="008A333A"/>
    <w:rsid w:val="008A774D"/>
    <w:rsid w:val="008A7A09"/>
    <w:rsid w:val="008A7A9D"/>
    <w:rsid w:val="008B2A5D"/>
    <w:rsid w:val="008B3562"/>
    <w:rsid w:val="008B3949"/>
    <w:rsid w:val="008B3BD1"/>
    <w:rsid w:val="008B3DA1"/>
    <w:rsid w:val="008B53AC"/>
    <w:rsid w:val="008B6C33"/>
    <w:rsid w:val="008C15C4"/>
    <w:rsid w:val="008C1858"/>
    <w:rsid w:val="008C3A6D"/>
    <w:rsid w:val="008C5943"/>
    <w:rsid w:val="008C6265"/>
    <w:rsid w:val="008C63F5"/>
    <w:rsid w:val="008D402F"/>
    <w:rsid w:val="008D7136"/>
    <w:rsid w:val="008D7268"/>
    <w:rsid w:val="008E0B75"/>
    <w:rsid w:val="008E15CA"/>
    <w:rsid w:val="008E60DE"/>
    <w:rsid w:val="008F032D"/>
    <w:rsid w:val="008F0AED"/>
    <w:rsid w:val="008F0BA5"/>
    <w:rsid w:val="008F174F"/>
    <w:rsid w:val="008F2B75"/>
    <w:rsid w:val="008F5663"/>
    <w:rsid w:val="008F5E6E"/>
    <w:rsid w:val="00902CA0"/>
    <w:rsid w:val="00904627"/>
    <w:rsid w:val="0090758B"/>
    <w:rsid w:val="00910CCB"/>
    <w:rsid w:val="00911405"/>
    <w:rsid w:val="009143F0"/>
    <w:rsid w:val="00914531"/>
    <w:rsid w:val="0091695F"/>
    <w:rsid w:val="0092254E"/>
    <w:rsid w:val="00922784"/>
    <w:rsid w:val="0092279B"/>
    <w:rsid w:val="00924DAD"/>
    <w:rsid w:val="00926712"/>
    <w:rsid w:val="00926A52"/>
    <w:rsid w:val="00926B50"/>
    <w:rsid w:val="009343C9"/>
    <w:rsid w:val="00934D7C"/>
    <w:rsid w:val="00935659"/>
    <w:rsid w:val="00935F38"/>
    <w:rsid w:val="00935FE1"/>
    <w:rsid w:val="00936760"/>
    <w:rsid w:val="00936C16"/>
    <w:rsid w:val="00944F37"/>
    <w:rsid w:val="00950B44"/>
    <w:rsid w:val="009511F9"/>
    <w:rsid w:val="00954B57"/>
    <w:rsid w:val="0095620C"/>
    <w:rsid w:val="00956797"/>
    <w:rsid w:val="00961160"/>
    <w:rsid w:val="00961971"/>
    <w:rsid w:val="00962F2A"/>
    <w:rsid w:val="00965E5D"/>
    <w:rsid w:val="0096770F"/>
    <w:rsid w:val="00971706"/>
    <w:rsid w:val="009724F3"/>
    <w:rsid w:val="00972567"/>
    <w:rsid w:val="0097430D"/>
    <w:rsid w:val="0097524C"/>
    <w:rsid w:val="00977909"/>
    <w:rsid w:val="0098238C"/>
    <w:rsid w:val="009830CC"/>
    <w:rsid w:val="009838B2"/>
    <w:rsid w:val="0098575C"/>
    <w:rsid w:val="00985858"/>
    <w:rsid w:val="0099024E"/>
    <w:rsid w:val="0099465F"/>
    <w:rsid w:val="00994CFD"/>
    <w:rsid w:val="009953BA"/>
    <w:rsid w:val="00995422"/>
    <w:rsid w:val="009977BD"/>
    <w:rsid w:val="009A0793"/>
    <w:rsid w:val="009A2A34"/>
    <w:rsid w:val="009A42FC"/>
    <w:rsid w:val="009A5075"/>
    <w:rsid w:val="009A50D1"/>
    <w:rsid w:val="009A5366"/>
    <w:rsid w:val="009B2055"/>
    <w:rsid w:val="009B2EC2"/>
    <w:rsid w:val="009B33D1"/>
    <w:rsid w:val="009C1D5B"/>
    <w:rsid w:val="009C2B0E"/>
    <w:rsid w:val="009C538F"/>
    <w:rsid w:val="009C6595"/>
    <w:rsid w:val="009D4EF5"/>
    <w:rsid w:val="009D5B01"/>
    <w:rsid w:val="009D6477"/>
    <w:rsid w:val="009D7B94"/>
    <w:rsid w:val="009E022E"/>
    <w:rsid w:val="009E2BD8"/>
    <w:rsid w:val="009E3FF1"/>
    <w:rsid w:val="009F0A41"/>
    <w:rsid w:val="009F1C3E"/>
    <w:rsid w:val="009F26E7"/>
    <w:rsid w:val="009F2DE5"/>
    <w:rsid w:val="009F4A41"/>
    <w:rsid w:val="009F5E9C"/>
    <w:rsid w:val="009F61CE"/>
    <w:rsid w:val="009F6923"/>
    <w:rsid w:val="00A023F1"/>
    <w:rsid w:val="00A02F19"/>
    <w:rsid w:val="00A04157"/>
    <w:rsid w:val="00A04943"/>
    <w:rsid w:val="00A0502E"/>
    <w:rsid w:val="00A061E7"/>
    <w:rsid w:val="00A06A84"/>
    <w:rsid w:val="00A07128"/>
    <w:rsid w:val="00A10D6D"/>
    <w:rsid w:val="00A134AC"/>
    <w:rsid w:val="00A13B3D"/>
    <w:rsid w:val="00A1464C"/>
    <w:rsid w:val="00A2163B"/>
    <w:rsid w:val="00A24231"/>
    <w:rsid w:val="00A245BF"/>
    <w:rsid w:val="00A25BFD"/>
    <w:rsid w:val="00A339D1"/>
    <w:rsid w:val="00A33E9E"/>
    <w:rsid w:val="00A35160"/>
    <w:rsid w:val="00A37FEF"/>
    <w:rsid w:val="00A411FB"/>
    <w:rsid w:val="00A41FC8"/>
    <w:rsid w:val="00A477F1"/>
    <w:rsid w:val="00A5245B"/>
    <w:rsid w:val="00A52B79"/>
    <w:rsid w:val="00A55A7E"/>
    <w:rsid w:val="00A63924"/>
    <w:rsid w:val="00A66229"/>
    <w:rsid w:val="00A66C38"/>
    <w:rsid w:val="00A7198D"/>
    <w:rsid w:val="00A72453"/>
    <w:rsid w:val="00A72507"/>
    <w:rsid w:val="00A743D3"/>
    <w:rsid w:val="00A75593"/>
    <w:rsid w:val="00A76FA5"/>
    <w:rsid w:val="00A80AF5"/>
    <w:rsid w:val="00A872B5"/>
    <w:rsid w:val="00A93251"/>
    <w:rsid w:val="00A94AC8"/>
    <w:rsid w:val="00A95049"/>
    <w:rsid w:val="00A96562"/>
    <w:rsid w:val="00A9676C"/>
    <w:rsid w:val="00A97091"/>
    <w:rsid w:val="00A97331"/>
    <w:rsid w:val="00AA0834"/>
    <w:rsid w:val="00AA7D7A"/>
    <w:rsid w:val="00AA7E25"/>
    <w:rsid w:val="00AB492B"/>
    <w:rsid w:val="00AB4DC5"/>
    <w:rsid w:val="00AB799C"/>
    <w:rsid w:val="00AC1C80"/>
    <w:rsid w:val="00AC2869"/>
    <w:rsid w:val="00AC4805"/>
    <w:rsid w:val="00AC7282"/>
    <w:rsid w:val="00AC79D5"/>
    <w:rsid w:val="00AD0897"/>
    <w:rsid w:val="00AD2252"/>
    <w:rsid w:val="00AD4E56"/>
    <w:rsid w:val="00AD6E4D"/>
    <w:rsid w:val="00AE37D8"/>
    <w:rsid w:val="00AE60B1"/>
    <w:rsid w:val="00AE6607"/>
    <w:rsid w:val="00AE7E03"/>
    <w:rsid w:val="00AF018B"/>
    <w:rsid w:val="00AF0CF9"/>
    <w:rsid w:val="00AF300D"/>
    <w:rsid w:val="00AF3F2C"/>
    <w:rsid w:val="00AF4C8F"/>
    <w:rsid w:val="00AF5E88"/>
    <w:rsid w:val="00B01557"/>
    <w:rsid w:val="00B03872"/>
    <w:rsid w:val="00B04F5F"/>
    <w:rsid w:val="00B11982"/>
    <w:rsid w:val="00B11FD7"/>
    <w:rsid w:val="00B12ECA"/>
    <w:rsid w:val="00B13254"/>
    <w:rsid w:val="00B15B51"/>
    <w:rsid w:val="00B16A02"/>
    <w:rsid w:val="00B21AAD"/>
    <w:rsid w:val="00B22466"/>
    <w:rsid w:val="00B22847"/>
    <w:rsid w:val="00B22A22"/>
    <w:rsid w:val="00B250C6"/>
    <w:rsid w:val="00B34C4E"/>
    <w:rsid w:val="00B37D66"/>
    <w:rsid w:val="00B37E4F"/>
    <w:rsid w:val="00B4313B"/>
    <w:rsid w:val="00B4354C"/>
    <w:rsid w:val="00B50B81"/>
    <w:rsid w:val="00B50C2D"/>
    <w:rsid w:val="00B51E9A"/>
    <w:rsid w:val="00B52E1B"/>
    <w:rsid w:val="00B551B9"/>
    <w:rsid w:val="00B55F02"/>
    <w:rsid w:val="00B55F94"/>
    <w:rsid w:val="00B612A6"/>
    <w:rsid w:val="00B6359C"/>
    <w:rsid w:val="00B63707"/>
    <w:rsid w:val="00B64A88"/>
    <w:rsid w:val="00B64C53"/>
    <w:rsid w:val="00B659B4"/>
    <w:rsid w:val="00B7122F"/>
    <w:rsid w:val="00B75C35"/>
    <w:rsid w:val="00B76B99"/>
    <w:rsid w:val="00B774B3"/>
    <w:rsid w:val="00B77E0D"/>
    <w:rsid w:val="00B85912"/>
    <w:rsid w:val="00B87109"/>
    <w:rsid w:val="00B909EE"/>
    <w:rsid w:val="00B90DA6"/>
    <w:rsid w:val="00B90EDA"/>
    <w:rsid w:val="00B93FE9"/>
    <w:rsid w:val="00B96572"/>
    <w:rsid w:val="00B970A9"/>
    <w:rsid w:val="00BA127D"/>
    <w:rsid w:val="00BA1EA2"/>
    <w:rsid w:val="00BA282A"/>
    <w:rsid w:val="00BA3672"/>
    <w:rsid w:val="00BA421B"/>
    <w:rsid w:val="00BA72B7"/>
    <w:rsid w:val="00BB24B1"/>
    <w:rsid w:val="00BB305F"/>
    <w:rsid w:val="00BC07E2"/>
    <w:rsid w:val="00BC081D"/>
    <w:rsid w:val="00BC103E"/>
    <w:rsid w:val="00BC1F9D"/>
    <w:rsid w:val="00BC29A4"/>
    <w:rsid w:val="00BC6CB4"/>
    <w:rsid w:val="00BD0B0A"/>
    <w:rsid w:val="00BD2413"/>
    <w:rsid w:val="00BD5C21"/>
    <w:rsid w:val="00BD5DEE"/>
    <w:rsid w:val="00BE07FB"/>
    <w:rsid w:val="00BE2677"/>
    <w:rsid w:val="00BE2A95"/>
    <w:rsid w:val="00BF1855"/>
    <w:rsid w:val="00BF3D5C"/>
    <w:rsid w:val="00BF3FFE"/>
    <w:rsid w:val="00BF45CE"/>
    <w:rsid w:val="00BF4758"/>
    <w:rsid w:val="00BF58DA"/>
    <w:rsid w:val="00BF6B05"/>
    <w:rsid w:val="00C021D3"/>
    <w:rsid w:val="00C02442"/>
    <w:rsid w:val="00C0380A"/>
    <w:rsid w:val="00C04CF2"/>
    <w:rsid w:val="00C10A42"/>
    <w:rsid w:val="00C13250"/>
    <w:rsid w:val="00C15953"/>
    <w:rsid w:val="00C16F13"/>
    <w:rsid w:val="00C228CA"/>
    <w:rsid w:val="00C23AEF"/>
    <w:rsid w:val="00C247F0"/>
    <w:rsid w:val="00C26CA9"/>
    <w:rsid w:val="00C31DD6"/>
    <w:rsid w:val="00C336F2"/>
    <w:rsid w:val="00C3382A"/>
    <w:rsid w:val="00C36048"/>
    <w:rsid w:val="00C36A76"/>
    <w:rsid w:val="00C374BB"/>
    <w:rsid w:val="00C3754B"/>
    <w:rsid w:val="00C417E0"/>
    <w:rsid w:val="00C44FAD"/>
    <w:rsid w:val="00C45633"/>
    <w:rsid w:val="00C50078"/>
    <w:rsid w:val="00C50D16"/>
    <w:rsid w:val="00C53C4F"/>
    <w:rsid w:val="00C54E15"/>
    <w:rsid w:val="00C57038"/>
    <w:rsid w:val="00C63867"/>
    <w:rsid w:val="00C63C65"/>
    <w:rsid w:val="00C64CBA"/>
    <w:rsid w:val="00C664AF"/>
    <w:rsid w:val="00C66B39"/>
    <w:rsid w:val="00C66B90"/>
    <w:rsid w:val="00C67BA5"/>
    <w:rsid w:val="00C67F91"/>
    <w:rsid w:val="00C71F7E"/>
    <w:rsid w:val="00C74115"/>
    <w:rsid w:val="00C746E4"/>
    <w:rsid w:val="00C74F30"/>
    <w:rsid w:val="00C77726"/>
    <w:rsid w:val="00C84DCF"/>
    <w:rsid w:val="00C84F30"/>
    <w:rsid w:val="00C85A49"/>
    <w:rsid w:val="00C85D69"/>
    <w:rsid w:val="00C86BE8"/>
    <w:rsid w:val="00C86DE2"/>
    <w:rsid w:val="00C90640"/>
    <w:rsid w:val="00C91D21"/>
    <w:rsid w:val="00C9324E"/>
    <w:rsid w:val="00C93C62"/>
    <w:rsid w:val="00C93F3D"/>
    <w:rsid w:val="00C95B1D"/>
    <w:rsid w:val="00C96CDE"/>
    <w:rsid w:val="00CA34AF"/>
    <w:rsid w:val="00CB114C"/>
    <w:rsid w:val="00CB2B22"/>
    <w:rsid w:val="00CB3A77"/>
    <w:rsid w:val="00CB502F"/>
    <w:rsid w:val="00CC5A41"/>
    <w:rsid w:val="00CC64E9"/>
    <w:rsid w:val="00CC70CB"/>
    <w:rsid w:val="00CC73B9"/>
    <w:rsid w:val="00CD0940"/>
    <w:rsid w:val="00CD0A77"/>
    <w:rsid w:val="00CD5538"/>
    <w:rsid w:val="00CD65AF"/>
    <w:rsid w:val="00CE0974"/>
    <w:rsid w:val="00CE14E8"/>
    <w:rsid w:val="00CE3A8A"/>
    <w:rsid w:val="00CE4C0B"/>
    <w:rsid w:val="00CE4D46"/>
    <w:rsid w:val="00CE7BF2"/>
    <w:rsid w:val="00CF2C9C"/>
    <w:rsid w:val="00D004D7"/>
    <w:rsid w:val="00D0301F"/>
    <w:rsid w:val="00D03BAF"/>
    <w:rsid w:val="00D053E9"/>
    <w:rsid w:val="00D05C1E"/>
    <w:rsid w:val="00D10C07"/>
    <w:rsid w:val="00D11E10"/>
    <w:rsid w:val="00D13F19"/>
    <w:rsid w:val="00D14783"/>
    <w:rsid w:val="00D15A9B"/>
    <w:rsid w:val="00D16361"/>
    <w:rsid w:val="00D20908"/>
    <w:rsid w:val="00D2274E"/>
    <w:rsid w:val="00D22BD8"/>
    <w:rsid w:val="00D240A5"/>
    <w:rsid w:val="00D249C0"/>
    <w:rsid w:val="00D2599D"/>
    <w:rsid w:val="00D274F5"/>
    <w:rsid w:val="00D27BC0"/>
    <w:rsid w:val="00D27C3C"/>
    <w:rsid w:val="00D27E74"/>
    <w:rsid w:val="00D30006"/>
    <w:rsid w:val="00D304ED"/>
    <w:rsid w:val="00D343DA"/>
    <w:rsid w:val="00D34862"/>
    <w:rsid w:val="00D36E03"/>
    <w:rsid w:val="00D44418"/>
    <w:rsid w:val="00D53E22"/>
    <w:rsid w:val="00D55A81"/>
    <w:rsid w:val="00D57143"/>
    <w:rsid w:val="00D57AD5"/>
    <w:rsid w:val="00D57D85"/>
    <w:rsid w:val="00D60837"/>
    <w:rsid w:val="00D63A55"/>
    <w:rsid w:val="00D63C19"/>
    <w:rsid w:val="00D643D3"/>
    <w:rsid w:val="00D6551A"/>
    <w:rsid w:val="00D670B8"/>
    <w:rsid w:val="00D739DF"/>
    <w:rsid w:val="00D744D1"/>
    <w:rsid w:val="00D74BBD"/>
    <w:rsid w:val="00D764A9"/>
    <w:rsid w:val="00D76528"/>
    <w:rsid w:val="00D812E1"/>
    <w:rsid w:val="00D8228A"/>
    <w:rsid w:val="00D847D3"/>
    <w:rsid w:val="00D84E8A"/>
    <w:rsid w:val="00D8571B"/>
    <w:rsid w:val="00D859CB"/>
    <w:rsid w:val="00D85BDA"/>
    <w:rsid w:val="00D86C0F"/>
    <w:rsid w:val="00D86DEC"/>
    <w:rsid w:val="00D87714"/>
    <w:rsid w:val="00D9055F"/>
    <w:rsid w:val="00D93D0D"/>
    <w:rsid w:val="00D947E5"/>
    <w:rsid w:val="00D968E4"/>
    <w:rsid w:val="00DA1430"/>
    <w:rsid w:val="00DA1C2D"/>
    <w:rsid w:val="00DA31E3"/>
    <w:rsid w:val="00DA667A"/>
    <w:rsid w:val="00DB06E8"/>
    <w:rsid w:val="00DB779F"/>
    <w:rsid w:val="00DC6DD7"/>
    <w:rsid w:val="00DD0E25"/>
    <w:rsid w:val="00DD12A6"/>
    <w:rsid w:val="00DD361F"/>
    <w:rsid w:val="00DD543D"/>
    <w:rsid w:val="00DD595F"/>
    <w:rsid w:val="00DE0406"/>
    <w:rsid w:val="00DE0E39"/>
    <w:rsid w:val="00DE5FBF"/>
    <w:rsid w:val="00DF06DE"/>
    <w:rsid w:val="00DF61AD"/>
    <w:rsid w:val="00DF6449"/>
    <w:rsid w:val="00E02089"/>
    <w:rsid w:val="00E02438"/>
    <w:rsid w:val="00E0246F"/>
    <w:rsid w:val="00E0326D"/>
    <w:rsid w:val="00E03573"/>
    <w:rsid w:val="00E0436A"/>
    <w:rsid w:val="00E0447A"/>
    <w:rsid w:val="00E05C78"/>
    <w:rsid w:val="00E0754A"/>
    <w:rsid w:val="00E107DA"/>
    <w:rsid w:val="00E10A5A"/>
    <w:rsid w:val="00E14E16"/>
    <w:rsid w:val="00E15D55"/>
    <w:rsid w:val="00E16440"/>
    <w:rsid w:val="00E16CF8"/>
    <w:rsid w:val="00E20F4B"/>
    <w:rsid w:val="00E25653"/>
    <w:rsid w:val="00E31D43"/>
    <w:rsid w:val="00E32B27"/>
    <w:rsid w:val="00E341B3"/>
    <w:rsid w:val="00E349F1"/>
    <w:rsid w:val="00E356A3"/>
    <w:rsid w:val="00E42FF4"/>
    <w:rsid w:val="00E44B5E"/>
    <w:rsid w:val="00E509B9"/>
    <w:rsid w:val="00E526C8"/>
    <w:rsid w:val="00E52F3D"/>
    <w:rsid w:val="00E538C0"/>
    <w:rsid w:val="00E5474D"/>
    <w:rsid w:val="00E57CB2"/>
    <w:rsid w:val="00E60872"/>
    <w:rsid w:val="00E622E7"/>
    <w:rsid w:val="00E6267F"/>
    <w:rsid w:val="00E631A4"/>
    <w:rsid w:val="00E67CF1"/>
    <w:rsid w:val="00E70296"/>
    <w:rsid w:val="00E71716"/>
    <w:rsid w:val="00E74E23"/>
    <w:rsid w:val="00E75C0B"/>
    <w:rsid w:val="00E767EC"/>
    <w:rsid w:val="00E840A5"/>
    <w:rsid w:val="00E84DFC"/>
    <w:rsid w:val="00E904A7"/>
    <w:rsid w:val="00E93E72"/>
    <w:rsid w:val="00E95157"/>
    <w:rsid w:val="00E953FD"/>
    <w:rsid w:val="00EA1BCA"/>
    <w:rsid w:val="00EA380E"/>
    <w:rsid w:val="00EB2C66"/>
    <w:rsid w:val="00EB30A0"/>
    <w:rsid w:val="00EB42CF"/>
    <w:rsid w:val="00EB4B3C"/>
    <w:rsid w:val="00EB74AE"/>
    <w:rsid w:val="00EC0926"/>
    <w:rsid w:val="00EC182A"/>
    <w:rsid w:val="00EC25BD"/>
    <w:rsid w:val="00EC36EF"/>
    <w:rsid w:val="00EC71DD"/>
    <w:rsid w:val="00ED0C36"/>
    <w:rsid w:val="00ED282B"/>
    <w:rsid w:val="00ED2CB8"/>
    <w:rsid w:val="00ED33C0"/>
    <w:rsid w:val="00ED5221"/>
    <w:rsid w:val="00ED6C87"/>
    <w:rsid w:val="00EE6735"/>
    <w:rsid w:val="00EE6903"/>
    <w:rsid w:val="00EE7ECF"/>
    <w:rsid w:val="00EF0DBF"/>
    <w:rsid w:val="00EF15AF"/>
    <w:rsid w:val="00EF3BD2"/>
    <w:rsid w:val="00EF49F5"/>
    <w:rsid w:val="00EF7259"/>
    <w:rsid w:val="00F00EBD"/>
    <w:rsid w:val="00F01707"/>
    <w:rsid w:val="00F03F7B"/>
    <w:rsid w:val="00F05C69"/>
    <w:rsid w:val="00F06547"/>
    <w:rsid w:val="00F1247B"/>
    <w:rsid w:val="00F1362C"/>
    <w:rsid w:val="00F13721"/>
    <w:rsid w:val="00F15C98"/>
    <w:rsid w:val="00F20326"/>
    <w:rsid w:val="00F2066F"/>
    <w:rsid w:val="00F213AA"/>
    <w:rsid w:val="00F232F1"/>
    <w:rsid w:val="00F23528"/>
    <w:rsid w:val="00F24354"/>
    <w:rsid w:val="00F24CB4"/>
    <w:rsid w:val="00F3186E"/>
    <w:rsid w:val="00F327F5"/>
    <w:rsid w:val="00F34243"/>
    <w:rsid w:val="00F35513"/>
    <w:rsid w:val="00F35F6A"/>
    <w:rsid w:val="00F45917"/>
    <w:rsid w:val="00F52444"/>
    <w:rsid w:val="00F527C4"/>
    <w:rsid w:val="00F54E2D"/>
    <w:rsid w:val="00F57858"/>
    <w:rsid w:val="00F579FE"/>
    <w:rsid w:val="00F60698"/>
    <w:rsid w:val="00F61C3F"/>
    <w:rsid w:val="00F640B3"/>
    <w:rsid w:val="00F666B1"/>
    <w:rsid w:val="00F67A66"/>
    <w:rsid w:val="00F713A8"/>
    <w:rsid w:val="00F73AB6"/>
    <w:rsid w:val="00F75784"/>
    <w:rsid w:val="00F76C66"/>
    <w:rsid w:val="00F81800"/>
    <w:rsid w:val="00F8463A"/>
    <w:rsid w:val="00F8632A"/>
    <w:rsid w:val="00F91EB9"/>
    <w:rsid w:val="00F91ED4"/>
    <w:rsid w:val="00F94597"/>
    <w:rsid w:val="00F94C49"/>
    <w:rsid w:val="00F96EAB"/>
    <w:rsid w:val="00FA04BD"/>
    <w:rsid w:val="00FA2C5D"/>
    <w:rsid w:val="00FA423D"/>
    <w:rsid w:val="00FA4EE2"/>
    <w:rsid w:val="00FB1109"/>
    <w:rsid w:val="00FB15CC"/>
    <w:rsid w:val="00FB2A15"/>
    <w:rsid w:val="00FB4C74"/>
    <w:rsid w:val="00FB4D9C"/>
    <w:rsid w:val="00FB7FE9"/>
    <w:rsid w:val="00FC13BC"/>
    <w:rsid w:val="00FC164E"/>
    <w:rsid w:val="00FC260F"/>
    <w:rsid w:val="00FC361E"/>
    <w:rsid w:val="00FC5079"/>
    <w:rsid w:val="00FD02A3"/>
    <w:rsid w:val="00FD0AA7"/>
    <w:rsid w:val="00FD0C1B"/>
    <w:rsid w:val="00FD2C11"/>
    <w:rsid w:val="00FD37C0"/>
    <w:rsid w:val="00FD42C2"/>
    <w:rsid w:val="00FE0581"/>
    <w:rsid w:val="00FE0BE4"/>
    <w:rsid w:val="00FE2E76"/>
    <w:rsid w:val="00FE2EA0"/>
    <w:rsid w:val="00FE3410"/>
    <w:rsid w:val="00FE5EDB"/>
    <w:rsid w:val="00FE7ACA"/>
    <w:rsid w:val="00FF0C32"/>
    <w:rsid w:val="00FF1908"/>
    <w:rsid w:val="00FF5256"/>
    <w:rsid w:val="00FF56DB"/>
    <w:rsid w:val="00FF5EBE"/>
    <w:rsid w:val="00FF7E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CA"/>
    <w:rPr>
      <w:rFonts w:ascii="Trebuchet MS" w:hAnsi="Trebuchet MS"/>
      <w:sz w:val="22"/>
      <w:szCs w:val="24"/>
      <w:lang w:eastAsia="es-ES"/>
    </w:rPr>
  </w:style>
  <w:style w:type="paragraph" w:styleId="Ttulo1">
    <w:name w:val="heading 1"/>
    <w:basedOn w:val="Normal"/>
    <w:next w:val="Normal"/>
    <w:qFormat/>
    <w:rsid w:val="002A08CA"/>
    <w:pPr>
      <w:keepNext/>
      <w:outlineLvl w:val="0"/>
    </w:pPr>
    <w:rPr>
      <w:b/>
      <w:smallCaps/>
      <w:u w:val="single"/>
    </w:rPr>
  </w:style>
  <w:style w:type="paragraph" w:styleId="Ttulo2">
    <w:name w:val="heading 2"/>
    <w:basedOn w:val="Normal"/>
    <w:next w:val="Normal"/>
    <w:link w:val="Ttulo2Car"/>
    <w:qFormat/>
    <w:rsid w:val="002A08CA"/>
    <w:pPr>
      <w:keepNext/>
      <w:jc w:val="center"/>
      <w:outlineLvl w:val="1"/>
    </w:pPr>
    <w:rPr>
      <w:rFonts w:ascii="Times New Roman" w:hAnsi="Times New Roman"/>
      <w:smallCaps/>
      <w:color w:val="000080"/>
      <w:sz w:val="28"/>
      <w:szCs w:val="20"/>
      <w:u w:val="single"/>
      <w:lang w:val="es-ES"/>
    </w:rPr>
  </w:style>
  <w:style w:type="paragraph" w:styleId="Ttulo3">
    <w:name w:val="heading 3"/>
    <w:basedOn w:val="Normal"/>
    <w:next w:val="Normal"/>
    <w:qFormat/>
    <w:rsid w:val="002A08CA"/>
    <w:pPr>
      <w:keepNext/>
      <w:ind w:left="2835" w:right="334" w:hanging="2835"/>
      <w:jc w:val="both"/>
      <w:outlineLvl w:val="2"/>
    </w:pPr>
    <w:rPr>
      <w:b/>
      <w:smallCaps/>
      <w:color w:val="000080"/>
    </w:rPr>
  </w:style>
  <w:style w:type="paragraph" w:styleId="Ttulo4">
    <w:name w:val="heading 4"/>
    <w:basedOn w:val="Normal"/>
    <w:next w:val="Normal"/>
    <w:qFormat/>
    <w:rsid w:val="002A08CA"/>
    <w:pPr>
      <w:keepNext/>
      <w:ind w:right="334"/>
      <w:jc w:val="center"/>
      <w:outlineLvl w:val="3"/>
    </w:pPr>
    <w:rPr>
      <w:rFonts w:ascii="Times New Roman" w:hAnsi="Times New Roman"/>
      <w:b/>
      <w:smallCaps/>
      <w:szCs w:val="20"/>
      <w:u w:val="single"/>
      <w:lang w:val="es-ES"/>
    </w:rPr>
  </w:style>
  <w:style w:type="paragraph" w:styleId="Ttulo5">
    <w:name w:val="heading 5"/>
    <w:basedOn w:val="Normal"/>
    <w:next w:val="Normal"/>
    <w:qFormat/>
    <w:rsid w:val="002A08CA"/>
    <w:pPr>
      <w:keepNext/>
      <w:ind w:left="708" w:right="334"/>
      <w:jc w:val="both"/>
      <w:outlineLvl w:val="4"/>
    </w:pPr>
    <w:rPr>
      <w:rFonts w:ascii="Times New Roman" w:hAnsi="Times New Roman"/>
      <w:b/>
      <w:smallCaps/>
      <w:szCs w:val="20"/>
      <w:u w:val="single"/>
      <w:lang w:val="es-ES"/>
    </w:rPr>
  </w:style>
  <w:style w:type="paragraph" w:styleId="Ttulo6">
    <w:name w:val="heading 6"/>
    <w:basedOn w:val="Normal"/>
    <w:next w:val="Normal"/>
    <w:qFormat/>
    <w:rsid w:val="002A08CA"/>
    <w:pPr>
      <w:keepNext/>
      <w:autoSpaceDE w:val="0"/>
      <w:autoSpaceDN w:val="0"/>
      <w:adjustRightInd w:val="0"/>
      <w:jc w:val="center"/>
      <w:outlineLvl w:val="5"/>
    </w:pPr>
    <w:rPr>
      <w:rFonts w:ascii="Times New Roman" w:hAnsi="Times New Roman"/>
      <w:b/>
      <w:color w:val="000000"/>
      <w:sz w:val="20"/>
      <w:szCs w:val="20"/>
      <w:lang w:val="es-MX"/>
    </w:rPr>
  </w:style>
  <w:style w:type="paragraph" w:styleId="Ttulo7">
    <w:name w:val="heading 7"/>
    <w:basedOn w:val="Normal"/>
    <w:next w:val="Normal"/>
    <w:qFormat/>
    <w:rsid w:val="002A08CA"/>
    <w:pPr>
      <w:keepNext/>
      <w:ind w:right="334"/>
      <w:jc w:val="center"/>
      <w:outlineLvl w:val="6"/>
    </w:pPr>
    <w:rPr>
      <w:bCs/>
      <w:smallCaps/>
      <w:sz w:val="26"/>
      <w:u w:val="single"/>
    </w:rPr>
  </w:style>
  <w:style w:type="paragraph" w:styleId="Ttulo8">
    <w:name w:val="heading 8"/>
    <w:basedOn w:val="Normal"/>
    <w:next w:val="Normal"/>
    <w:qFormat/>
    <w:rsid w:val="002A08CA"/>
    <w:pPr>
      <w:keepNext/>
      <w:outlineLvl w:val="7"/>
    </w:pPr>
    <w:rPr>
      <w:b/>
      <w:smallCaps/>
    </w:rPr>
  </w:style>
  <w:style w:type="paragraph" w:styleId="Ttulo9">
    <w:name w:val="heading 9"/>
    <w:basedOn w:val="Normal"/>
    <w:next w:val="Normal"/>
    <w:qFormat/>
    <w:rsid w:val="002A08CA"/>
    <w:pPr>
      <w:keepNext/>
      <w:outlineLvl w:val="8"/>
    </w:pPr>
    <w:rPr>
      <w:b/>
      <w:smallCaps/>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2A08CA"/>
    <w:pPr>
      <w:jc w:val="both"/>
    </w:pPr>
    <w:rPr>
      <w:rFonts w:ascii="Times New Roman" w:hAnsi="Times New Roman"/>
      <w:i/>
      <w:color w:val="FF0000"/>
      <w:sz w:val="20"/>
      <w:szCs w:val="20"/>
      <w:lang w:val="es-ES"/>
    </w:rPr>
  </w:style>
  <w:style w:type="paragraph" w:styleId="Piedepgina">
    <w:name w:val="footer"/>
    <w:basedOn w:val="Normal"/>
    <w:link w:val="PiedepginaCar"/>
    <w:uiPriority w:val="99"/>
    <w:rsid w:val="002A08CA"/>
    <w:pPr>
      <w:tabs>
        <w:tab w:val="center" w:pos="4252"/>
        <w:tab w:val="right" w:pos="8504"/>
      </w:tabs>
    </w:pPr>
    <w:rPr>
      <w:rFonts w:ascii="Times New Roman" w:hAnsi="Times New Roman"/>
      <w:sz w:val="20"/>
      <w:szCs w:val="20"/>
      <w:lang w:val="es-ES"/>
    </w:rPr>
  </w:style>
  <w:style w:type="character" w:styleId="Nmerodepgina">
    <w:name w:val="page number"/>
    <w:basedOn w:val="Fuentedeprrafopredeter"/>
    <w:rsid w:val="002A08CA"/>
  </w:style>
  <w:style w:type="character" w:styleId="Textoennegrita">
    <w:name w:val="Strong"/>
    <w:uiPriority w:val="22"/>
    <w:qFormat/>
    <w:rsid w:val="002A08CA"/>
    <w:rPr>
      <w:b/>
      <w:bCs/>
    </w:rPr>
  </w:style>
  <w:style w:type="paragraph" w:styleId="Textodebloque">
    <w:name w:val="Block Text"/>
    <w:basedOn w:val="Normal"/>
    <w:rsid w:val="002A08CA"/>
    <w:pPr>
      <w:ind w:left="2835" w:right="334" w:hanging="2835"/>
      <w:jc w:val="both"/>
    </w:pPr>
    <w:rPr>
      <w:rFonts w:ascii="Times New Roman" w:hAnsi="Times New Roman"/>
      <w:b/>
      <w:smallCaps/>
      <w:color w:val="000080"/>
      <w:szCs w:val="20"/>
      <w:lang w:val="es-ES"/>
    </w:rPr>
  </w:style>
  <w:style w:type="paragraph" w:styleId="Encabezado">
    <w:name w:val="header"/>
    <w:basedOn w:val="Normal"/>
    <w:rsid w:val="002A08CA"/>
    <w:pPr>
      <w:tabs>
        <w:tab w:val="center" w:pos="4419"/>
        <w:tab w:val="right" w:pos="8838"/>
      </w:tabs>
    </w:pPr>
  </w:style>
  <w:style w:type="character" w:styleId="Refdenotaalpie">
    <w:name w:val="footnote reference"/>
    <w:uiPriority w:val="99"/>
    <w:semiHidden/>
    <w:rsid w:val="002A08CA"/>
    <w:rPr>
      <w:vertAlign w:val="superscript"/>
    </w:rPr>
  </w:style>
  <w:style w:type="character" w:styleId="Hipervnculo">
    <w:name w:val="Hyperlink"/>
    <w:rsid w:val="002A08CA"/>
    <w:rPr>
      <w:color w:val="0000FF"/>
      <w:u w:val="single"/>
    </w:rPr>
  </w:style>
  <w:style w:type="character" w:styleId="Hipervnculovisitado">
    <w:name w:val="FollowedHyperlink"/>
    <w:rsid w:val="002A08CA"/>
    <w:rPr>
      <w:color w:val="800080"/>
      <w:u w:val="single"/>
    </w:rPr>
  </w:style>
  <w:style w:type="paragraph" w:styleId="Sangradetextonormal">
    <w:name w:val="Body Text Indent"/>
    <w:basedOn w:val="Normal"/>
    <w:rsid w:val="002A08CA"/>
    <w:pPr>
      <w:ind w:left="360"/>
    </w:pPr>
    <w:rPr>
      <w:rFonts w:ascii="Garamond" w:hAnsi="Garamond"/>
      <w:sz w:val="24"/>
      <w:lang w:val="es-ES"/>
    </w:rPr>
  </w:style>
  <w:style w:type="paragraph" w:styleId="Textonotapie">
    <w:name w:val="footnote text"/>
    <w:basedOn w:val="Normal"/>
    <w:link w:val="TextonotapieCar"/>
    <w:uiPriority w:val="99"/>
    <w:semiHidden/>
    <w:rsid w:val="002A08CA"/>
    <w:rPr>
      <w:sz w:val="20"/>
      <w:szCs w:val="20"/>
    </w:rPr>
  </w:style>
  <w:style w:type="character" w:styleId="nfasis">
    <w:name w:val="Emphasis"/>
    <w:qFormat/>
    <w:rsid w:val="002A08CA"/>
    <w:rPr>
      <w:i/>
      <w:iCs/>
    </w:rPr>
  </w:style>
  <w:style w:type="paragraph" w:styleId="Textoindependiente">
    <w:name w:val="Body Text"/>
    <w:basedOn w:val="Normal"/>
    <w:rsid w:val="002A08CA"/>
    <w:pPr>
      <w:jc w:val="both"/>
    </w:pPr>
    <w:rPr>
      <w:rFonts w:ascii="Arial" w:hAnsi="Arial" w:cs="Arial"/>
      <w:b/>
      <w:bCs/>
      <w:color w:val="FF0000"/>
      <w:sz w:val="16"/>
      <w:lang w:val="es-ES"/>
    </w:rPr>
  </w:style>
  <w:style w:type="paragraph" w:styleId="Textoindependiente2">
    <w:name w:val="Body Text 2"/>
    <w:basedOn w:val="Normal"/>
    <w:link w:val="Textoindependiente2Car"/>
    <w:rsid w:val="00C71F7E"/>
    <w:pPr>
      <w:spacing w:after="120" w:line="480" w:lineRule="auto"/>
    </w:pPr>
  </w:style>
  <w:style w:type="character" w:customStyle="1" w:styleId="Textoindependiente2Car">
    <w:name w:val="Texto independiente 2 Car"/>
    <w:link w:val="Textoindependiente2"/>
    <w:rsid w:val="00C71F7E"/>
    <w:rPr>
      <w:rFonts w:ascii="Trebuchet MS" w:hAnsi="Trebuchet MS"/>
      <w:sz w:val="22"/>
      <w:szCs w:val="24"/>
      <w:lang w:eastAsia="es-ES"/>
    </w:rPr>
  </w:style>
  <w:style w:type="table" w:styleId="Tablaconcuadrcula">
    <w:name w:val="Table Grid"/>
    <w:basedOn w:val="Tablanormal"/>
    <w:uiPriority w:val="59"/>
    <w:rsid w:val="00CE4D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282003"/>
    <w:pPr>
      <w:ind w:left="708"/>
    </w:pPr>
  </w:style>
  <w:style w:type="paragraph" w:customStyle="1" w:styleId="Default">
    <w:name w:val="Default"/>
    <w:rsid w:val="00607773"/>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3E155C"/>
    <w:rPr>
      <w:rFonts w:ascii="Tahoma" w:hAnsi="Tahoma"/>
      <w:sz w:val="16"/>
      <w:szCs w:val="16"/>
    </w:rPr>
  </w:style>
  <w:style w:type="character" w:customStyle="1" w:styleId="TextodegloboCar">
    <w:name w:val="Texto de globo Car"/>
    <w:link w:val="Textodeglobo"/>
    <w:rsid w:val="003E155C"/>
    <w:rPr>
      <w:rFonts w:ascii="Tahoma" w:hAnsi="Tahoma" w:cs="Tahoma"/>
      <w:sz w:val="16"/>
      <w:szCs w:val="16"/>
      <w:lang w:eastAsia="es-ES"/>
    </w:rPr>
  </w:style>
  <w:style w:type="paragraph" w:customStyle="1" w:styleId="Titulo2">
    <w:name w:val="Titulo 2"/>
    <w:basedOn w:val="Normal"/>
    <w:rsid w:val="00B93FE9"/>
    <w:pPr>
      <w:keepNext/>
      <w:numPr>
        <w:numId w:val="31"/>
      </w:numPr>
      <w:tabs>
        <w:tab w:val="left" w:pos="0"/>
      </w:tabs>
      <w:ind w:right="340"/>
      <w:outlineLvl w:val="1"/>
    </w:pPr>
    <w:rPr>
      <w:rFonts w:ascii="Garamond" w:hAnsi="Garamond" w:cs="Arial"/>
      <w:b/>
      <w:sz w:val="24"/>
      <w:lang w:eastAsia="es-AR"/>
    </w:rPr>
  </w:style>
  <w:style w:type="paragraph" w:styleId="Textonotaalfinal">
    <w:name w:val="endnote text"/>
    <w:basedOn w:val="Normal"/>
    <w:link w:val="TextonotaalfinalCar"/>
    <w:rsid w:val="00024974"/>
    <w:rPr>
      <w:sz w:val="20"/>
      <w:szCs w:val="20"/>
    </w:rPr>
  </w:style>
  <w:style w:type="character" w:customStyle="1" w:styleId="TextonotaalfinalCar">
    <w:name w:val="Texto nota al final Car"/>
    <w:link w:val="Textonotaalfinal"/>
    <w:rsid w:val="00024974"/>
    <w:rPr>
      <w:rFonts w:ascii="Trebuchet MS" w:hAnsi="Trebuchet MS"/>
      <w:lang w:eastAsia="es-ES"/>
    </w:rPr>
  </w:style>
  <w:style w:type="character" w:styleId="Refdenotaalfinal">
    <w:name w:val="endnote reference"/>
    <w:rsid w:val="00024974"/>
    <w:rPr>
      <w:vertAlign w:val="superscript"/>
    </w:rPr>
  </w:style>
  <w:style w:type="paragraph" w:styleId="NormalWeb">
    <w:name w:val="Normal (Web)"/>
    <w:basedOn w:val="Normal"/>
    <w:uiPriority w:val="99"/>
    <w:unhideWhenUsed/>
    <w:rsid w:val="00C85A49"/>
    <w:pPr>
      <w:spacing w:before="100" w:beforeAutospacing="1" w:after="100" w:afterAutospacing="1"/>
    </w:pPr>
    <w:rPr>
      <w:rFonts w:ascii="Times New Roman" w:hAnsi="Times New Roman"/>
      <w:sz w:val="24"/>
      <w:lang w:eastAsia="es-AR"/>
    </w:rPr>
  </w:style>
  <w:style w:type="character" w:customStyle="1" w:styleId="PiedepginaCar">
    <w:name w:val="Pie de página Car"/>
    <w:link w:val="Piedepgina"/>
    <w:uiPriority w:val="99"/>
    <w:rsid w:val="006A0DF8"/>
    <w:rPr>
      <w:lang w:val="es-ES" w:eastAsia="es-ES"/>
    </w:rPr>
  </w:style>
  <w:style w:type="paragraph" w:customStyle="1" w:styleId="yiv2065452397msonormal">
    <w:name w:val="yiv2065452397msonormal"/>
    <w:basedOn w:val="Normal"/>
    <w:uiPriority w:val="99"/>
    <w:rsid w:val="004E58BC"/>
    <w:pPr>
      <w:spacing w:before="100" w:beforeAutospacing="1" w:after="100" w:afterAutospacing="1"/>
    </w:pPr>
    <w:rPr>
      <w:rFonts w:ascii="Times New Roman" w:hAnsi="Times New Roman"/>
      <w:sz w:val="24"/>
      <w:lang w:eastAsia="es-AR"/>
    </w:rPr>
  </w:style>
  <w:style w:type="character" w:customStyle="1" w:styleId="TextonotapieCar">
    <w:name w:val="Texto nota pie Car"/>
    <w:link w:val="Textonotapie"/>
    <w:uiPriority w:val="99"/>
    <w:semiHidden/>
    <w:rsid w:val="00F24CB4"/>
    <w:rPr>
      <w:rFonts w:ascii="Trebuchet MS" w:hAnsi="Trebuchet MS"/>
      <w:lang w:eastAsia="es-ES"/>
    </w:rPr>
  </w:style>
  <w:style w:type="character" w:customStyle="1" w:styleId="Ttulo2Car">
    <w:name w:val="Título 2 Car"/>
    <w:link w:val="Ttulo2"/>
    <w:rsid w:val="00393ED1"/>
    <w:rPr>
      <w:smallCaps/>
      <w:color w:val="000080"/>
      <w:sz w:val="28"/>
      <w:u w:val="single"/>
      <w:lang w:val="es-ES" w:eastAsia="es-ES"/>
    </w:rPr>
  </w:style>
  <w:style w:type="paragraph" w:customStyle="1" w:styleId="Prrafodelista1">
    <w:name w:val="Párrafo de lista1"/>
    <w:basedOn w:val="Normal"/>
    <w:uiPriority w:val="34"/>
    <w:qFormat/>
    <w:rsid w:val="00C57038"/>
    <w:pPr>
      <w:spacing w:after="200" w:line="276" w:lineRule="auto"/>
      <w:ind w:left="720"/>
      <w:contextualSpacing/>
    </w:pPr>
    <w:rPr>
      <w:rFonts w:ascii="Calibri" w:hAnsi="Calibri" w:cs="Arial"/>
      <w:szCs w:val="22"/>
      <w:lang w:eastAsia="en-US"/>
    </w:rPr>
  </w:style>
  <w:style w:type="table" w:customStyle="1" w:styleId="Sombreadoclaro1">
    <w:name w:val="Sombreado claro1"/>
    <w:basedOn w:val="Tablanormal"/>
    <w:uiPriority w:val="60"/>
    <w:rsid w:val="00D444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466119"/>
    <w:rPr>
      <w:rFonts w:ascii="Trebuchet MS" w:hAnsi="Trebuchet MS"/>
      <w:sz w:val="22"/>
      <w:szCs w:val="24"/>
      <w:lang w:eastAsia="es-ES"/>
    </w:rPr>
  </w:style>
  <w:style w:type="paragraph" w:styleId="Listaconvietas2">
    <w:name w:val="List Bullet 2"/>
    <w:basedOn w:val="Normal"/>
    <w:rsid w:val="0098238C"/>
    <w:pPr>
      <w:numPr>
        <w:numId w:val="41"/>
      </w:numPr>
      <w:contextualSpacing/>
    </w:pPr>
  </w:style>
  <w:style w:type="paragraph" w:styleId="Epgrafe">
    <w:name w:val="caption"/>
    <w:basedOn w:val="Normal"/>
    <w:next w:val="Normal"/>
    <w:unhideWhenUsed/>
    <w:qFormat/>
    <w:rsid w:val="0098238C"/>
    <w:rPr>
      <w:b/>
      <w:bCs/>
      <w:sz w:val="20"/>
      <w:szCs w:val="20"/>
    </w:rPr>
  </w:style>
  <w:style w:type="paragraph" w:styleId="Ttulo">
    <w:name w:val="Title"/>
    <w:basedOn w:val="Normal"/>
    <w:next w:val="Normal"/>
    <w:link w:val="TtuloCar"/>
    <w:uiPriority w:val="10"/>
    <w:qFormat/>
    <w:rsid w:val="004E67A3"/>
    <w:pPr>
      <w:contextualSpacing/>
    </w:pPr>
    <w:rPr>
      <w:rFonts w:ascii="Calibri Light" w:hAnsi="Calibri Light"/>
      <w:spacing w:val="-10"/>
      <w:kern w:val="28"/>
      <w:sz w:val="52"/>
      <w:szCs w:val="56"/>
      <w:lang w:val="en-US" w:eastAsia="en-US"/>
    </w:rPr>
  </w:style>
  <w:style w:type="character" w:customStyle="1" w:styleId="TtuloCar">
    <w:name w:val="Título Car"/>
    <w:link w:val="Ttulo"/>
    <w:uiPriority w:val="10"/>
    <w:rsid w:val="004E67A3"/>
    <w:rPr>
      <w:rFonts w:ascii="Calibri Light" w:hAnsi="Calibri Light"/>
      <w:spacing w:val="-10"/>
      <w:kern w:val="28"/>
      <w:sz w:val="52"/>
      <w:szCs w:val="56"/>
      <w:lang w:val="en-US" w:eastAsia="en-US"/>
    </w:rPr>
  </w:style>
  <w:style w:type="paragraph" w:customStyle="1" w:styleId="PortadaEmpresas">
    <w:name w:val="Portada Empresas"/>
    <w:basedOn w:val="Normal"/>
    <w:qFormat/>
    <w:rsid w:val="004E67A3"/>
    <w:pPr>
      <w:spacing w:after="160" w:line="259" w:lineRule="auto"/>
    </w:pPr>
    <w:rPr>
      <w:rFonts w:ascii="Helvetica" w:eastAsia="Calibri" w:hAnsi="Helvetica"/>
      <w:sz w:val="32"/>
      <w:szCs w:val="22"/>
      <w:lang w:val="en-US" w:eastAsia="en-US"/>
    </w:rPr>
  </w:style>
  <w:style w:type="character" w:customStyle="1" w:styleId="Textoindependiente3Car">
    <w:name w:val="Texto independiente 3 Car"/>
    <w:link w:val="Textoindependiente3"/>
    <w:rsid w:val="004E67A3"/>
    <w:rPr>
      <w:i/>
      <w:color w:val="FF0000"/>
      <w:lang w:val="es-ES" w:eastAsia="es-ES"/>
    </w:rPr>
  </w:style>
  <w:style w:type="character" w:styleId="Refdecomentario">
    <w:name w:val="annotation reference"/>
    <w:basedOn w:val="Fuentedeprrafopredeter"/>
    <w:semiHidden/>
    <w:unhideWhenUsed/>
    <w:rsid w:val="00DE0406"/>
    <w:rPr>
      <w:sz w:val="16"/>
      <w:szCs w:val="16"/>
    </w:rPr>
  </w:style>
  <w:style w:type="paragraph" w:styleId="Textocomentario">
    <w:name w:val="annotation text"/>
    <w:basedOn w:val="Normal"/>
    <w:link w:val="TextocomentarioCar"/>
    <w:semiHidden/>
    <w:unhideWhenUsed/>
    <w:rsid w:val="00DE0406"/>
    <w:rPr>
      <w:sz w:val="20"/>
      <w:szCs w:val="20"/>
    </w:rPr>
  </w:style>
  <w:style w:type="character" w:customStyle="1" w:styleId="TextocomentarioCar">
    <w:name w:val="Texto comentario Car"/>
    <w:basedOn w:val="Fuentedeprrafopredeter"/>
    <w:link w:val="Textocomentario"/>
    <w:semiHidden/>
    <w:rsid w:val="00DE0406"/>
    <w:rPr>
      <w:rFonts w:ascii="Trebuchet MS" w:hAnsi="Trebuchet MS"/>
      <w:lang w:eastAsia="es-ES"/>
    </w:rPr>
  </w:style>
  <w:style w:type="paragraph" w:styleId="Asuntodelcomentario">
    <w:name w:val="annotation subject"/>
    <w:basedOn w:val="Textocomentario"/>
    <w:next w:val="Textocomentario"/>
    <w:link w:val="AsuntodelcomentarioCar"/>
    <w:semiHidden/>
    <w:unhideWhenUsed/>
    <w:rsid w:val="00DE0406"/>
    <w:rPr>
      <w:b/>
      <w:bCs/>
    </w:rPr>
  </w:style>
  <w:style w:type="character" w:customStyle="1" w:styleId="AsuntodelcomentarioCar">
    <w:name w:val="Asunto del comentario Car"/>
    <w:basedOn w:val="TextocomentarioCar"/>
    <w:link w:val="Asuntodelcomentario"/>
    <w:semiHidden/>
    <w:rsid w:val="00DE0406"/>
    <w:rPr>
      <w:rFonts w:ascii="Trebuchet MS" w:hAnsi="Trebuchet MS"/>
      <w:b/>
      <w:bCs/>
      <w:lang w:eastAsia="es-ES"/>
    </w:rPr>
  </w:style>
</w:styles>
</file>

<file path=word/webSettings.xml><?xml version="1.0" encoding="utf-8"?>
<w:webSettings xmlns:r="http://schemas.openxmlformats.org/officeDocument/2006/relationships" xmlns:w="http://schemas.openxmlformats.org/wordprocessingml/2006/main">
  <w:divs>
    <w:div w:id="22639621">
      <w:bodyDiv w:val="1"/>
      <w:marLeft w:val="0"/>
      <w:marRight w:val="0"/>
      <w:marTop w:val="0"/>
      <w:marBottom w:val="0"/>
      <w:divBdr>
        <w:top w:val="none" w:sz="0" w:space="0" w:color="auto"/>
        <w:left w:val="none" w:sz="0" w:space="0" w:color="auto"/>
        <w:bottom w:val="none" w:sz="0" w:space="0" w:color="auto"/>
        <w:right w:val="none" w:sz="0" w:space="0" w:color="auto"/>
      </w:divBdr>
    </w:div>
    <w:div w:id="24719308">
      <w:bodyDiv w:val="1"/>
      <w:marLeft w:val="0"/>
      <w:marRight w:val="0"/>
      <w:marTop w:val="0"/>
      <w:marBottom w:val="0"/>
      <w:divBdr>
        <w:top w:val="none" w:sz="0" w:space="0" w:color="auto"/>
        <w:left w:val="none" w:sz="0" w:space="0" w:color="auto"/>
        <w:bottom w:val="none" w:sz="0" w:space="0" w:color="auto"/>
        <w:right w:val="none" w:sz="0" w:space="0" w:color="auto"/>
      </w:divBdr>
    </w:div>
    <w:div w:id="44065293">
      <w:bodyDiv w:val="1"/>
      <w:marLeft w:val="0"/>
      <w:marRight w:val="0"/>
      <w:marTop w:val="0"/>
      <w:marBottom w:val="0"/>
      <w:divBdr>
        <w:top w:val="none" w:sz="0" w:space="0" w:color="auto"/>
        <w:left w:val="none" w:sz="0" w:space="0" w:color="auto"/>
        <w:bottom w:val="none" w:sz="0" w:space="0" w:color="auto"/>
        <w:right w:val="none" w:sz="0" w:space="0" w:color="auto"/>
      </w:divBdr>
    </w:div>
    <w:div w:id="75133892">
      <w:bodyDiv w:val="1"/>
      <w:marLeft w:val="0"/>
      <w:marRight w:val="0"/>
      <w:marTop w:val="0"/>
      <w:marBottom w:val="0"/>
      <w:divBdr>
        <w:top w:val="none" w:sz="0" w:space="0" w:color="auto"/>
        <w:left w:val="none" w:sz="0" w:space="0" w:color="auto"/>
        <w:bottom w:val="none" w:sz="0" w:space="0" w:color="auto"/>
        <w:right w:val="none" w:sz="0" w:space="0" w:color="auto"/>
      </w:divBdr>
    </w:div>
    <w:div w:id="121845506">
      <w:bodyDiv w:val="1"/>
      <w:marLeft w:val="0"/>
      <w:marRight w:val="0"/>
      <w:marTop w:val="0"/>
      <w:marBottom w:val="0"/>
      <w:divBdr>
        <w:top w:val="none" w:sz="0" w:space="0" w:color="auto"/>
        <w:left w:val="none" w:sz="0" w:space="0" w:color="auto"/>
        <w:bottom w:val="none" w:sz="0" w:space="0" w:color="auto"/>
        <w:right w:val="none" w:sz="0" w:space="0" w:color="auto"/>
      </w:divBdr>
    </w:div>
    <w:div w:id="154028501">
      <w:bodyDiv w:val="1"/>
      <w:marLeft w:val="0"/>
      <w:marRight w:val="0"/>
      <w:marTop w:val="0"/>
      <w:marBottom w:val="0"/>
      <w:divBdr>
        <w:top w:val="none" w:sz="0" w:space="0" w:color="auto"/>
        <w:left w:val="none" w:sz="0" w:space="0" w:color="auto"/>
        <w:bottom w:val="none" w:sz="0" w:space="0" w:color="auto"/>
        <w:right w:val="none" w:sz="0" w:space="0" w:color="auto"/>
      </w:divBdr>
    </w:div>
    <w:div w:id="219512226">
      <w:bodyDiv w:val="1"/>
      <w:marLeft w:val="0"/>
      <w:marRight w:val="0"/>
      <w:marTop w:val="0"/>
      <w:marBottom w:val="0"/>
      <w:divBdr>
        <w:top w:val="none" w:sz="0" w:space="0" w:color="auto"/>
        <w:left w:val="none" w:sz="0" w:space="0" w:color="auto"/>
        <w:bottom w:val="none" w:sz="0" w:space="0" w:color="auto"/>
        <w:right w:val="none" w:sz="0" w:space="0" w:color="auto"/>
      </w:divBdr>
    </w:div>
    <w:div w:id="256595591">
      <w:bodyDiv w:val="1"/>
      <w:marLeft w:val="0"/>
      <w:marRight w:val="0"/>
      <w:marTop w:val="0"/>
      <w:marBottom w:val="0"/>
      <w:divBdr>
        <w:top w:val="none" w:sz="0" w:space="0" w:color="auto"/>
        <w:left w:val="none" w:sz="0" w:space="0" w:color="auto"/>
        <w:bottom w:val="none" w:sz="0" w:space="0" w:color="auto"/>
        <w:right w:val="none" w:sz="0" w:space="0" w:color="auto"/>
      </w:divBdr>
    </w:div>
    <w:div w:id="302279004">
      <w:bodyDiv w:val="1"/>
      <w:marLeft w:val="0"/>
      <w:marRight w:val="0"/>
      <w:marTop w:val="0"/>
      <w:marBottom w:val="0"/>
      <w:divBdr>
        <w:top w:val="none" w:sz="0" w:space="0" w:color="auto"/>
        <w:left w:val="none" w:sz="0" w:space="0" w:color="auto"/>
        <w:bottom w:val="none" w:sz="0" w:space="0" w:color="auto"/>
        <w:right w:val="none" w:sz="0" w:space="0" w:color="auto"/>
      </w:divBdr>
    </w:div>
    <w:div w:id="318850161">
      <w:bodyDiv w:val="1"/>
      <w:marLeft w:val="0"/>
      <w:marRight w:val="0"/>
      <w:marTop w:val="0"/>
      <w:marBottom w:val="0"/>
      <w:divBdr>
        <w:top w:val="none" w:sz="0" w:space="0" w:color="auto"/>
        <w:left w:val="none" w:sz="0" w:space="0" w:color="auto"/>
        <w:bottom w:val="none" w:sz="0" w:space="0" w:color="auto"/>
        <w:right w:val="none" w:sz="0" w:space="0" w:color="auto"/>
      </w:divBdr>
    </w:div>
    <w:div w:id="391739486">
      <w:bodyDiv w:val="1"/>
      <w:marLeft w:val="0"/>
      <w:marRight w:val="0"/>
      <w:marTop w:val="0"/>
      <w:marBottom w:val="0"/>
      <w:divBdr>
        <w:top w:val="none" w:sz="0" w:space="0" w:color="auto"/>
        <w:left w:val="none" w:sz="0" w:space="0" w:color="auto"/>
        <w:bottom w:val="none" w:sz="0" w:space="0" w:color="auto"/>
        <w:right w:val="none" w:sz="0" w:space="0" w:color="auto"/>
      </w:divBdr>
    </w:div>
    <w:div w:id="425728967">
      <w:bodyDiv w:val="1"/>
      <w:marLeft w:val="0"/>
      <w:marRight w:val="0"/>
      <w:marTop w:val="0"/>
      <w:marBottom w:val="0"/>
      <w:divBdr>
        <w:top w:val="none" w:sz="0" w:space="0" w:color="auto"/>
        <w:left w:val="none" w:sz="0" w:space="0" w:color="auto"/>
        <w:bottom w:val="none" w:sz="0" w:space="0" w:color="auto"/>
        <w:right w:val="none" w:sz="0" w:space="0" w:color="auto"/>
      </w:divBdr>
    </w:div>
    <w:div w:id="476654522">
      <w:bodyDiv w:val="1"/>
      <w:marLeft w:val="0"/>
      <w:marRight w:val="0"/>
      <w:marTop w:val="0"/>
      <w:marBottom w:val="0"/>
      <w:divBdr>
        <w:top w:val="none" w:sz="0" w:space="0" w:color="auto"/>
        <w:left w:val="none" w:sz="0" w:space="0" w:color="auto"/>
        <w:bottom w:val="none" w:sz="0" w:space="0" w:color="auto"/>
        <w:right w:val="none" w:sz="0" w:space="0" w:color="auto"/>
      </w:divBdr>
    </w:div>
    <w:div w:id="488524316">
      <w:bodyDiv w:val="1"/>
      <w:marLeft w:val="0"/>
      <w:marRight w:val="0"/>
      <w:marTop w:val="0"/>
      <w:marBottom w:val="0"/>
      <w:divBdr>
        <w:top w:val="none" w:sz="0" w:space="0" w:color="auto"/>
        <w:left w:val="none" w:sz="0" w:space="0" w:color="auto"/>
        <w:bottom w:val="none" w:sz="0" w:space="0" w:color="auto"/>
        <w:right w:val="none" w:sz="0" w:space="0" w:color="auto"/>
      </w:divBdr>
    </w:div>
    <w:div w:id="546912021">
      <w:bodyDiv w:val="1"/>
      <w:marLeft w:val="0"/>
      <w:marRight w:val="0"/>
      <w:marTop w:val="0"/>
      <w:marBottom w:val="0"/>
      <w:divBdr>
        <w:top w:val="none" w:sz="0" w:space="0" w:color="auto"/>
        <w:left w:val="none" w:sz="0" w:space="0" w:color="auto"/>
        <w:bottom w:val="none" w:sz="0" w:space="0" w:color="auto"/>
        <w:right w:val="none" w:sz="0" w:space="0" w:color="auto"/>
      </w:divBdr>
    </w:div>
    <w:div w:id="551814512">
      <w:bodyDiv w:val="1"/>
      <w:marLeft w:val="0"/>
      <w:marRight w:val="0"/>
      <w:marTop w:val="0"/>
      <w:marBottom w:val="0"/>
      <w:divBdr>
        <w:top w:val="none" w:sz="0" w:space="0" w:color="auto"/>
        <w:left w:val="none" w:sz="0" w:space="0" w:color="auto"/>
        <w:bottom w:val="none" w:sz="0" w:space="0" w:color="auto"/>
        <w:right w:val="none" w:sz="0" w:space="0" w:color="auto"/>
      </w:divBdr>
    </w:div>
    <w:div w:id="556431104">
      <w:bodyDiv w:val="1"/>
      <w:marLeft w:val="0"/>
      <w:marRight w:val="0"/>
      <w:marTop w:val="0"/>
      <w:marBottom w:val="0"/>
      <w:divBdr>
        <w:top w:val="none" w:sz="0" w:space="0" w:color="auto"/>
        <w:left w:val="none" w:sz="0" w:space="0" w:color="auto"/>
        <w:bottom w:val="none" w:sz="0" w:space="0" w:color="auto"/>
        <w:right w:val="none" w:sz="0" w:space="0" w:color="auto"/>
      </w:divBdr>
    </w:div>
    <w:div w:id="566839923">
      <w:bodyDiv w:val="1"/>
      <w:marLeft w:val="0"/>
      <w:marRight w:val="0"/>
      <w:marTop w:val="0"/>
      <w:marBottom w:val="0"/>
      <w:divBdr>
        <w:top w:val="none" w:sz="0" w:space="0" w:color="auto"/>
        <w:left w:val="none" w:sz="0" w:space="0" w:color="auto"/>
        <w:bottom w:val="none" w:sz="0" w:space="0" w:color="auto"/>
        <w:right w:val="none" w:sz="0" w:space="0" w:color="auto"/>
      </w:divBdr>
    </w:div>
    <w:div w:id="580455373">
      <w:bodyDiv w:val="1"/>
      <w:marLeft w:val="0"/>
      <w:marRight w:val="0"/>
      <w:marTop w:val="0"/>
      <w:marBottom w:val="0"/>
      <w:divBdr>
        <w:top w:val="none" w:sz="0" w:space="0" w:color="auto"/>
        <w:left w:val="none" w:sz="0" w:space="0" w:color="auto"/>
        <w:bottom w:val="none" w:sz="0" w:space="0" w:color="auto"/>
        <w:right w:val="none" w:sz="0" w:space="0" w:color="auto"/>
      </w:divBdr>
    </w:div>
    <w:div w:id="599458763">
      <w:bodyDiv w:val="1"/>
      <w:marLeft w:val="0"/>
      <w:marRight w:val="0"/>
      <w:marTop w:val="0"/>
      <w:marBottom w:val="0"/>
      <w:divBdr>
        <w:top w:val="none" w:sz="0" w:space="0" w:color="auto"/>
        <w:left w:val="none" w:sz="0" w:space="0" w:color="auto"/>
        <w:bottom w:val="none" w:sz="0" w:space="0" w:color="auto"/>
        <w:right w:val="none" w:sz="0" w:space="0" w:color="auto"/>
      </w:divBdr>
    </w:div>
    <w:div w:id="682315673">
      <w:bodyDiv w:val="1"/>
      <w:marLeft w:val="0"/>
      <w:marRight w:val="0"/>
      <w:marTop w:val="0"/>
      <w:marBottom w:val="0"/>
      <w:divBdr>
        <w:top w:val="none" w:sz="0" w:space="0" w:color="auto"/>
        <w:left w:val="none" w:sz="0" w:space="0" w:color="auto"/>
        <w:bottom w:val="none" w:sz="0" w:space="0" w:color="auto"/>
        <w:right w:val="none" w:sz="0" w:space="0" w:color="auto"/>
      </w:divBdr>
    </w:div>
    <w:div w:id="700738956">
      <w:bodyDiv w:val="1"/>
      <w:marLeft w:val="0"/>
      <w:marRight w:val="0"/>
      <w:marTop w:val="0"/>
      <w:marBottom w:val="0"/>
      <w:divBdr>
        <w:top w:val="none" w:sz="0" w:space="0" w:color="auto"/>
        <w:left w:val="none" w:sz="0" w:space="0" w:color="auto"/>
        <w:bottom w:val="none" w:sz="0" w:space="0" w:color="auto"/>
        <w:right w:val="none" w:sz="0" w:space="0" w:color="auto"/>
      </w:divBdr>
    </w:div>
    <w:div w:id="754664115">
      <w:bodyDiv w:val="1"/>
      <w:marLeft w:val="0"/>
      <w:marRight w:val="0"/>
      <w:marTop w:val="0"/>
      <w:marBottom w:val="0"/>
      <w:divBdr>
        <w:top w:val="none" w:sz="0" w:space="0" w:color="auto"/>
        <w:left w:val="none" w:sz="0" w:space="0" w:color="auto"/>
        <w:bottom w:val="none" w:sz="0" w:space="0" w:color="auto"/>
        <w:right w:val="none" w:sz="0" w:space="0" w:color="auto"/>
      </w:divBdr>
    </w:div>
    <w:div w:id="756096241">
      <w:bodyDiv w:val="1"/>
      <w:marLeft w:val="0"/>
      <w:marRight w:val="0"/>
      <w:marTop w:val="0"/>
      <w:marBottom w:val="0"/>
      <w:divBdr>
        <w:top w:val="none" w:sz="0" w:space="0" w:color="auto"/>
        <w:left w:val="none" w:sz="0" w:space="0" w:color="auto"/>
        <w:bottom w:val="none" w:sz="0" w:space="0" w:color="auto"/>
        <w:right w:val="none" w:sz="0" w:space="0" w:color="auto"/>
      </w:divBdr>
    </w:div>
    <w:div w:id="769466839">
      <w:bodyDiv w:val="1"/>
      <w:marLeft w:val="0"/>
      <w:marRight w:val="0"/>
      <w:marTop w:val="0"/>
      <w:marBottom w:val="0"/>
      <w:divBdr>
        <w:top w:val="none" w:sz="0" w:space="0" w:color="auto"/>
        <w:left w:val="none" w:sz="0" w:space="0" w:color="auto"/>
        <w:bottom w:val="none" w:sz="0" w:space="0" w:color="auto"/>
        <w:right w:val="none" w:sz="0" w:space="0" w:color="auto"/>
      </w:divBdr>
    </w:div>
    <w:div w:id="780732868">
      <w:bodyDiv w:val="1"/>
      <w:marLeft w:val="0"/>
      <w:marRight w:val="0"/>
      <w:marTop w:val="0"/>
      <w:marBottom w:val="0"/>
      <w:divBdr>
        <w:top w:val="none" w:sz="0" w:space="0" w:color="auto"/>
        <w:left w:val="none" w:sz="0" w:space="0" w:color="auto"/>
        <w:bottom w:val="none" w:sz="0" w:space="0" w:color="auto"/>
        <w:right w:val="none" w:sz="0" w:space="0" w:color="auto"/>
      </w:divBdr>
    </w:div>
    <w:div w:id="840389286">
      <w:bodyDiv w:val="1"/>
      <w:marLeft w:val="0"/>
      <w:marRight w:val="0"/>
      <w:marTop w:val="0"/>
      <w:marBottom w:val="0"/>
      <w:divBdr>
        <w:top w:val="none" w:sz="0" w:space="0" w:color="auto"/>
        <w:left w:val="none" w:sz="0" w:space="0" w:color="auto"/>
        <w:bottom w:val="none" w:sz="0" w:space="0" w:color="auto"/>
        <w:right w:val="none" w:sz="0" w:space="0" w:color="auto"/>
      </w:divBdr>
    </w:div>
    <w:div w:id="856819146">
      <w:bodyDiv w:val="1"/>
      <w:marLeft w:val="0"/>
      <w:marRight w:val="0"/>
      <w:marTop w:val="0"/>
      <w:marBottom w:val="0"/>
      <w:divBdr>
        <w:top w:val="none" w:sz="0" w:space="0" w:color="auto"/>
        <w:left w:val="none" w:sz="0" w:space="0" w:color="auto"/>
        <w:bottom w:val="none" w:sz="0" w:space="0" w:color="auto"/>
        <w:right w:val="none" w:sz="0" w:space="0" w:color="auto"/>
      </w:divBdr>
    </w:div>
    <w:div w:id="868835530">
      <w:bodyDiv w:val="1"/>
      <w:marLeft w:val="0"/>
      <w:marRight w:val="0"/>
      <w:marTop w:val="0"/>
      <w:marBottom w:val="0"/>
      <w:divBdr>
        <w:top w:val="none" w:sz="0" w:space="0" w:color="auto"/>
        <w:left w:val="none" w:sz="0" w:space="0" w:color="auto"/>
        <w:bottom w:val="none" w:sz="0" w:space="0" w:color="auto"/>
        <w:right w:val="none" w:sz="0" w:space="0" w:color="auto"/>
      </w:divBdr>
    </w:div>
    <w:div w:id="919406327">
      <w:bodyDiv w:val="1"/>
      <w:marLeft w:val="0"/>
      <w:marRight w:val="0"/>
      <w:marTop w:val="0"/>
      <w:marBottom w:val="0"/>
      <w:divBdr>
        <w:top w:val="none" w:sz="0" w:space="0" w:color="auto"/>
        <w:left w:val="none" w:sz="0" w:space="0" w:color="auto"/>
        <w:bottom w:val="none" w:sz="0" w:space="0" w:color="auto"/>
        <w:right w:val="none" w:sz="0" w:space="0" w:color="auto"/>
      </w:divBdr>
    </w:div>
    <w:div w:id="925531576">
      <w:bodyDiv w:val="1"/>
      <w:marLeft w:val="0"/>
      <w:marRight w:val="0"/>
      <w:marTop w:val="0"/>
      <w:marBottom w:val="0"/>
      <w:divBdr>
        <w:top w:val="none" w:sz="0" w:space="0" w:color="auto"/>
        <w:left w:val="none" w:sz="0" w:space="0" w:color="auto"/>
        <w:bottom w:val="none" w:sz="0" w:space="0" w:color="auto"/>
        <w:right w:val="none" w:sz="0" w:space="0" w:color="auto"/>
      </w:divBdr>
    </w:div>
    <w:div w:id="959148190">
      <w:bodyDiv w:val="1"/>
      <w:marLeft w:val="0"/>
      <w:marRight w:val="0"/>
      <w:marTop w:val="0"/>
      <w:marBottom w:val="0"/>
      <w:divBdr>
        <w:top w:val="none" w:sz="0" w:space="0" w:color="auto"/>
        <w:left w:val="none" w:sz="0" w:space="0" w:color="auto"/>
        <w:bottom w:val="none" w:sz="0" w:space="0" w:color="auto"/>
        <w:right w:val="none" w:sz="0" w:space="0" w:color="auto"/>
      </w:divBdr>
    </w:div>
    <w:div w:id="970326304">
      <w:bodyDiv w:val="1"/>
      <w:marLeft w:val="0"/>
      <w:marRight w:val="0"/>
      <w:marTop w:val="0"/>
      <w:marBottom w:val="0"/>
      <w:divBdr>
        <w:top w:val="none" w:sz="0" w:space="0" w:color="auto"/>
        <w:left w:val="none" w:sz="0" w:space="0" w:color="auto"/>
        <w:bottom w:val="none" w:sz="0" w:space="0" w:color="auto"/>
        <w:right w:val="none" w:sz="0" w:space="0" w:color="auto"/>
      </w:divBdr>
    </w:div>
    <w:div w:id="981930003">
      <w:bodyDiv w:val="1"/>
      <w:marLeft w:val="0"/>
      <w:marRight w:val="0"/>
      <w:marTop w:val="0"/>
      <w:marBottom w:val="0"/>
      <w:divBdr>
        <w:top w:val="none" w:sz="0" w:space="0" w:color="auto"/>
        <w:left w:val="none" w:sz="0" w:space="0" w:color="auto"/>
        <w:bottom w:val="none" w:sz="0" w:space="0" w:color="auto"/>
        <w:right w:val="none" w:sz="0" w:space="0" w:color="auto"/>
      </w:divBdr>
    </w:div>
    <w:div w:id="998197277">
      <w:bodyDiv w:val="1"/>
      <w:marLeft w:val="0"/>
      <w:marRight w:val="0"/>
      <w:marTop w:val="0"/>
      <w:marBottom w:val="0"/>
      <w:divBdr>
        <w:top w:val="none" w:sz="0" w:space="0" w:color="auto"/>
        <w:left w:val="none" w:sz="0" w:space="0" w:color="auto"/>
        <w:bottom w:val="none" w:sz="0" w:space="0" w:color="auto"/>
        <w:right w:val="none" w:sz="0" w:space="0" w:color="auto"/>
      </w:divBdr>
    </w:div>
    <w:div w:id="1002897489">
      <w:bodyDiv w:val="1"/>
      <w:marLeft w:val="0"/>
      <w:marRight w:val="0"/>
      <w:marTop w:val="0"/>
      <w:marBottom w:val="0"/>
      <w:divBdr>
        <w:top w:val="none" w:sz="0" w:space="0" w:color="auto"/>
        <w:left w:val="none" w:sz="0" w:space="0" w:color="auto"/>
        <w:bottom w:val="none" w:sz="0" w:space="0" w:color="auto"/>
        <w:right w:val="none" w:sz="0" w:space="0" w:color="auto"/>
      </w:divBdr>
    </w:div>
    <w:div w:id="1027871859">
      <w:bodyDiv w:val="1"/>
      <w:marLeft w:val="0"/>
      <w:marRight w:val="0"/>
      <w:marTop w:val="0"/>
      <w:marBottom w:val="0"/>
      <w:divBdr>
        <w:top w:val="none" w:sz="0" w:space="0" w:color="auto"/>
        <w:left w:val="none" w:sz="0" w:space="0" w:color="auto"/>
        <w:bottom w:val="none" w:sz="0" w:space="0" w:color="auto"/>
        <w:right w:val="none" w:sz="0" w:space="0" w:color="auto"/>
      </w:divBdr>
    </w:div>
    <w:div w:id="1035696412">
      <w:bodyDiv w:val="1"/>
      <w:marLeft w:val="0"/>
      <w:marRight w:val="0"/>
      <w:marTop w:val="0"/>
      <w:marBottom w:val="0"/>
      <w:divBdr>
        <w:top w:val="none" w:sz="0" w:space="0" w:color="auto"/>
        <w:left w:val="none" w:sz="0" w:space="0" w:color="auto"/>
        <w:bottom w:val="none" w:sz="0" w:space="0" w:color="auto"/>
        <w:right w:val="none" w:sz="0" w:space="0" w:color="auto"/>
      </w:divBdr>
    </w:div>
    <w:div w:id="1046679311">
      <w:bodyDiv w:val="1"/>
      <w:marLeft w:val="0"/>
      <w:marRight w:val="0"/>
      <w:marTop w:val="0"/>
      <w:marBottom w:val="0"/>
      <w:divBdr>
        <w:top w:val="none" w:sz="0" w:space="0" w:color="auto"/>
        <w:left w:val="none" w:sz="0" w:space="0" w:color="auto"/>
        <w:bottom w:val="none" w:sz="0" w:space="0" w:color="auto"/>
        <w:right w:val="none" w:sz="0" w:space="0" w:color="auto"/>
      </w:divBdr>
    </w:div>
    <w:div w:id="1066799256">
      <w:bodyDiv w:val="1"/>
      <w:marLeft w:val="0"/>
      <w:marRight w:val="0"/>
      <w:marTop w:val="0"/>
      <w:marBottom w:val="0"/>
      <w:divBdr>
        <w:top w:val="none" w:sz="0" w:space="0" w:color="auto"/>
        <w:left w:val="none" w:sz="0" w:space="0" w:color="auto"/>
        <w:bottom w:val="none" w:sz="0" w:space="0" w:color="auto"/>
        <w:right w:val="none" w:sz="0" w:space="0" w:color="auto"/>
      </w:divBdr>
    </w:div>
    <w:div w:id="1073356203">
      <w:bodyDiv w:val="1"/>
      <w:marLeft w:val="0"/>
      <w:marRight w:val="0"/>
      <w:marTop w:val="0"/>
      <w:marBottom w:val="0"/>
      <w:divBdr>
        <w:top w:val="none" w:sz="0" w:space="0" w:color="auto"/>
        <w:left w:val="none" w:sz="0" w:space="0" w:color="auto"/>
        <w:bottom w:val="none" w:sz="0" w:space="0" w:color="auto"/>
        <w:right w:val="none" w:sz="0" w:space="0" w:color="auto"/>
      </w:divBdr>
    </w:div>
    <w:div w:id="1099639246">
      <w:bodyDiv w:val="1"/>
      <w:marLeft w:val="0"/>
      <w:marRight w:val="0"/>
      <w:marTop w:val="0"/>
      <w:marBottom w:val="0"/>
      <w:divBdr>
        <w:top w:val="none" w:sz="0" w:space="0" w:color="auto"/>
        <w:left w:val="none" w:sz="0" w:space="0" w:color="auto"/>
        <w:bottom w:val="none" w:sz="0" w:space="0" w:color="auto"/>
        <w:right w:val="none" w:sz="0" w:space="0" w:color="auto"/>
      </w:divBdr>
    </w:div>
    <w:div w:id="1115365524">
      <w:bodyDiv w:val="1"/>
      <w:marLeft w:val="0"/>
      <w:marRight w:val="0"/>
      <w:marTop w:val="0"/>
      <w:marBottom w:val="0"/>
      <w:divBdr>
        <w:top w:val="none" w:sz="0" w:space="0" w:color="auto"/>
        <w:left w:val="none" w:sz="0" w:space="0" w:color="auto"/>
        <w:bottom w:val="none" w:sz="0" w:space="0" w:color="auto"/>
        <w:right w:val="none" w:sz="0" w:space="0" w:color="auto"/>
      </w:divBdr>
    </w:div>
    <w:div w:id="1122528861">
      <w:bodyDiv w:val="1"/>
      <w:marLeft w:val="0"/>
      <w:marRight w:val="0"/>
      <w:marTop w:val="0"/>
      <w:marBottom w:val="0"/>
      <w:divBdr>
        <w:top w:val="none" w:sz="0" w:space="0" w:color="auto"/>
        <w:left w:val="none" w:sz="0" w:space="0" w:color="auto"/>
        <w:bottom w:val="none" w:sz="0" w:space="0" w:color="auto"/>
        <w:right w:val="none" w:sz="0" w:space="0" w:color="auto"/>
      </w:divBdr>
    </w:div>
    <w:div w:id="1135563134">
      <w:bodyDiv w:val="1"/>
      <w:marLeft w:val="0"/>
      <w:marRight w:val="0"/>
      <w:marTop w:val="0"/>
      <w:marBottom w:val="0"/>
      <w:divBdr>
        <w:top w:val="none" w:sz="0" w:space="0" w:color="auto"/>
        <w:left w:val="none" w:sz="0" w:space="0" w:color="auto"/>
        <w:bottom w:val="none" w:sz="0" w:space="0" w:color="auto"/>
        <w:right w:val="none" w:sz="0" w:space="0" w:color="auto"/>
      </w:divBdr>
    </w:div>
    <w:div w:id="1230071684">
      <w:bodyDiv w:val="1"/>
      <w:marLeft w:val="0"/>
      <w:marRight w:val="0"/>
      <w:marTop w:val="0"/>
      <w:marBottom w:val="0"/>
      <w:divBdr>
        <w:top w:val="none" w:sz="0" w:space="0" w:color="auto"/>
        <w:left w:val="none" w:sz="0" w:space="0" w:color="auto"/>
        <w:bottom w:val="none" w:sz="0" w:space="0" w:color="auto"/>
        <w:right w:val="none" w:sz="0" w:space="0" w:color="auto"/>
      </w:divBdr>
    </w:div>
    <w:div w:id="1252395800">
      <w:bodyDiv w:val="1"/>
      <w:marLeft w:val="0"/>
      <w:marRight w:val="0"/>
      <w:marTop w:val="0"/>
      <w:marBottom w:val="0"/>
      <w:divBdr>
        <w:top w:val="none" w:sz="0" w:space="0" w:color="auto"/>
        <w:left w:val="none" w:sz="0" w:space="0" w:color="auto"/>
        <w:bottom w:val="none" w:sz="0" w:space="0" w:color="auto"/>
        <w:right w:val="none" w:sz="0" w:space="0" w:color="auto"/>
      </w:divBdr>
    </w:div>
    <w:div w:id="1293243579">
      <w:bodyDiv w:val="1"/>
      <w:marLeft w:val="0"/>
      <w:marRight w:val="0"/>
      <w:marTop w:val="0"/>
      <w:marBottom w:val="0"/>
      <w:divBdr>
        <w:top w:val="none" w:sz="0" w:space="0" w:color="auto"/>
        <w:left w:val="none" w:sz="0" w:space="0" w:color="auto"/>
        <w:bottom w:val="none" w:sz="0" w:space="0" w:color="auto"/>
        <w:right w:val="none" w:sz="0" w:space="0" w:color="auto"/>
      </w:divBdr>
    </w:div>
    <w:div w:id="1301231169">
      <w:bodyDiv w:val="1"/>
      <w:marLeft w:val="0"/>
      <w:marRight w:val="0"/>
      <w:marTop w:val="0"/>
      <w:marBottom w:val="0"/>
      <w:divBdr>
        <w:top w:val="none" w:sz="0" w:space="0" w:color="auto"/>
        <w:left w:val="none" w:sz="0" w:space="0" w:color="auto"/>
        <w:bottom w:val="none" w:sz="0" w:space="0" w:color="auto"/>
        <w:right w:val="none" w:sz="0" w:space="0" w:color="auto"/>
      </w:divBdr>
    </w:div>
    <w:div w:id="1301379366">
      <w:bodyDiv w:val="1"/>
      <w:marLeft w:val="0"/>
      <w:marRight w:val="0"/>
      <w:marTop w:val="0"/>
      <w:marBottom w:val="0"/>
      <w:divBdr>
        <w:top w:val="none" w:sz="0" w:space="0" w:color="auto"/>
        <w:left w:val="none" w:sz="0" w:space="0" w:color="auto"/>
        <w:bottom w:val="none" w:sz="0" w:space="0" w:color="auto"/>
        <w:right w:val="none" w:sz="0" w:space="0" w:color="auto"/>
      </w:divBdr>
    </w:div>
    <w:div w:id="1370030267">
      <w:bodyDiv w:val="1"/>
      <w:marLeft w:val="0"/>
      <w:marRight w:val="0"/>
      <w:marTop w:val="0"/>
      <w:marBottom w:val="0"/>
      <w:divBdr>
        <w:top w:val="none" w:sz="0" w:space="0" w:color="auto"/>
        <w:left w:val="none" w:sz="0" w:space="0" w:color="auto"/>
        <w:bottom w:val="none" w:sz="0" w:space="0" w:color="auto"/>
        <w:right w:val="none" w:sz="0" w:space="0" w:color="auto"/>
      </w:divBdr>
    </w:div>
    <w:div w:id="1431778763">
      <w:bodyDiv w:val="1"/>
      <w:marLeft w:val="0"/>
      <w:marRight w:val="0"/>
      <w:marTop w:val="0"/>
      <w:marBottom w:val="0"/>
      <w:divBdr>
        <w:top w:val="none" w:sz="0" w:space="0" w:color="auto"/>
        <w:left w:val="none" w:sz="0" w:space="0" w:color="auto"/>
        <w:bottom w:val="none" w:sz="0" w:space="0" w:color="auto"/>
        <w:right w:val="none" w:sz="0" w:space="0" w:color="auto"/>
      </w:divBdr>
    </w:div>
    <w:div w:id="1468663066">
      <w:bodyDiv w:val="1"/>
      <w:marLeft w:val="0"/>
      <w:marRight w:val="0"/>
      <w:marTop w:val="0"/>
      <w:marBottom w:val="0"/>
      <w:divBdr>
        <w:top w:val="none" w:sz="0" w:space="0" w:color="auto"/>
        <w:left w:val="none" w:sz="0" w:space="0" w:color="auto"/>
        <w:bottom w:val="none" w:sz="0" w:space="0" w:color="auto"/>
        <w:right w:val="none" w:sz="0" w:space="0" w:color="auto"/>
      </w:divBdr>
    </w:div>
    <w:div w:id="1474520735">
      <w:bodyDiv w:val="1"/>
      <w:marLeft w:val="0"/>
      <w:marRight w:val="0"/>
      <w:marTop w:val="0"/>
      <w:marBottom w:val="0"/>
      <w:divBdr>
        <w:top w:val="none" w:sz="0" w:space="0" w:color="auto"/>
        <w:left w:val="none" w:sz="0" w:space="0" w:color="auto"/>
        <w:bottom w:val="none" w:sz="0" w:space="0" w:color="auto"/>
        <w:right w:val="none" w:sz="0" w:space="0" w:color="auto"/>
      </w:divBdr>
    </w:div>
    <w:div w:id="1518733837">
      <w:bodyDiv w:val="1"/>
      <w:marLeft w:val="0"/>
      <w:marRight w:val="0"/>
      <w:marTop w:val="0"/>
      <w:marBottom w:val="0"/>
      <w:divBdr>
        <w:top w:val="none" w:sz="0" w:space="0" w:color="auto"/>
        <w:left w:val="none" w:sz="0" w:space="0" w:color="auto"/>
        <w:bottom w:val="none" w:sz="0" w:space="0" w:color="auto"/>
        <w:right w:val="none" w:sz="0" w:space="0" w:color="auto"/>
      </w:divBdr>
    </w:div>
    <w:div w:id="1563826779">
      <w:bodyDiv w:val="1"/>
      <w:marLeft w:val="0"/>
      <w:marRight w:val="0"/>
      <w:marTop w:val="0"/>
      <w:marBottom w:val="0"/>
      <w:divBdr>
        <w:top w:val="none" w:sz="0" w:space="0" w:color="auto"/>
        <w:left w:val="none" w:sz="0" w:space="0" w:color="auto"/>
        <w:bottom w:val="none" w:sz="0" w:space="0" w:color="auto"/>
        <w:right w:val="none" w:sz="0" w:space="0" w:color="auto"/>
      </w:divBdr>
    </w:div>
    <w:div w:id="1570657122">
      <w:bodyDiv w:val="1"/>
      <w:marLeft w:val="0"/>
      <w:marRight w:val="0"/>
      <w:marTop w:val="0"/>
      <w:marBottom w:val="0"/>
      <w:divBdr>
        <w:top w:val="none" w:sz="0" w:space="0" w:color="auto"/>
        <w:left w:val="none" w:sz="0" w:space="0" w:color="auto"/>
        <w:bottom w:val="none" w:sz="0" w:space="0" w:color="auto"/>
        <w:right w:val="none" w:sz="0" w:space="0" w:color="auto"/>
      </w:divBdr>
    </w:div>
    <w:div w:id="1674915422">
      <w:bodyDiv w:val="1"/>
      <w:marLeft w:val="0"/>
      <w:marRight w:val="0"/>
      <w:marTop w:val="0"/>
      <w:marBottom w:val="0"/>
      <w:divBdr>
        <w:top w:val="none" w:sz="0" w:space="0" w:color="auto"/>
        <w:left w:val="none" w:sz="0" w:space="0" w:color="auto"/>
        <w:bottom w:val="none" w:sz="0" w:space="0" w:color="auto"/>
        <w:right w:val="none" w:sz="0" w:space="0" w:color="auto"/>
      </w:divBdr>
    </w:div>
    <w:div w:id="1705405818">
      <w:bodyDiv w:val="1"/>
      <w:marLeft w:val="0"/>
      <w:marRight w:val="0"/>
      <w:marTop w:val="0"/>
      <w:marBottom w:val="0"/>
      <w:divBdr>
        <w:top w:val="none" w:sz="0" w:space="0" w:color="auto"/>
        <w:left w:val="none" w:sz="0" w:space="0" w:color="auto"/>
        <w:bottom w:val="none" w:sz="0" w:space="0" w:color="auto"/>
        <w:right w:val="none" w:sz="0" w:space="0" w:color="auto"/>
      </w:divBdr>
    </w:div>
    <w:div w:id="1761947943">
      <w:bodyDiv w:val="1"/>
      <w:marLeft w:val="0"/>
      <w:marRight w:val="0"/>
      <w:marTop w:val="0"/>
      <w:marBottom w:val="0"/>
      <w:divBdr>
        <w:top w:val="none" w:sz="0" w:space="0" w:color="auto"/>
        <w:left w:val="none" w:sz="0" w:space="0" w:color="auto"/>
        <w:bottom w:val="none" w:sz="0" w:space="0" w:color="auto"/>
        <w:right w:val="none" w:sz="0" w:space="0" w:color="auto"/>
      </w:divBdr>
    </w:div>
    <w:div w:id="1800803154">
      <w:bodyDiv w:val="1"/>
      <w:marLeft w:val="0"/>
      <w:marRight w:val="0"/>
      <w:marTop w:val="0"/>
      <w:marBottom w:val="0"/>
      <w:divBdr>
        <w:top w:val="none" w:sz="0" w:space="0" w:color="auto"/>
        <w:left w:val="none" w:sz="0" w:space="0" w:color="auto"/>
        <w:bottom w:val="none" w:sz="0" w:space="0" w:color="auto"/>
        <w:right w:val="none" w:sz="0" w:space="0" w:color="auto"/>
      </w:divBdr>
    </w:div>
    <w:div w:id="1850093819">
      <w:bodyDiv w:val="1"/>
      <w:marLeft w:val="0"/>
      <w:marRight w:val="0"/>
      <w:marTop w:val="0"/>
      <w:marBottom w:val="0"/>
      <w:divBdr>
        <w:top w:val="none" w:sz="0" w:space="0" w:color="auto"/>
        <w:left w:val="none" w:sz="0" w:space="0" w:color="auto"/>
        <w:bottom w:val="none" w:sz="0" w:space="0" w:color="auto"/>
        <w:right w:val="none" w:sz="0" w:space="0" w:color="auto"/>
      </w:divBdr>
    </w:div>
    <w:div w:id="1854411711">
      <w:bodyDiv w:val="1"/>
      <w:marLeft w:val="0"/>
      <w:marRight w:val="0"/>
      <w:marTop w:val="0"/>
      <w:marBottom w:val="0"/>
      <w:divBdr>
        <w:top w:val="none" w:sz="0" w:space="0" w:color="auto"/>
        <w:left w:val="none" w:sz="0" w:space="0" w:color="auto"/>
        <w:bottom w:val="none" w:sz="0" w:space="0" w:color="auto"/>
        <w:right w:val="none" w:sz="0" w:space="0" w:color="auto"/>
      </w:divBdr>
    </w:div>
    <w:div w:id="1874270129">
      <w:bodyDiv w:val="1"/>
      <w:marLeft w:val="0"/>
      <w:marRight w:val="0"/>
      <w:marTop w:val="0"/>
      <w:marBottom w:val="0"/>
      <w:divBdr>
        <w:top w:val="none" w:sz="0" w:space="0" w:color="auto"/>
        <w:left w:val="none" w:sz="0" w:space="0" w:color="auto"/>
        <w:bottom w:val="none" w:sz="0" w:space="0" w:color="auto"/>
        <w:right w:val="none" w:sz="0" w:space="0" w:color="auto"/>
      </w:divBdr>
    </w:div>
    <w:div w:id="1893733414">
      <w:bodyDiv w:val="1"/>
      <w:marLeft w:val="0"/>
      <w:marRight w:val="0"/>
      <w:marTop w:val="0"/>
      <w:marBottom w:val="0"/>
      <w:divBdr>
        <w:top w:val="none" w:sz="0" w:space="0" w:color="auto"/>
        <w:left w:val="none" w:sz="0" w:space="0" w:color="auto"/>
        <w:bottom w:val="none" w:sz="0" w:space="0" w:color="auto"/>
        <w:right w:val="none" w:sz="0" w:space="0" w:color="auto"/>
      </w:divBdr>
    </w:div>
    <w:div w:id="1910264727">
      <w:bodyDiv w:val="1"/>
      <w:marLeft w:val="0"/>
      <w:marRight w:val="0"/>
      <w:marTop w:val="0"/>
      <w:marBottom w:val="0"/>
      <w:divBdr>
        <w:top w:val="none" w:sz="0" w:space="0" w:color="auto"/>
        <w:left w:val="none" w:sz="0" w:space="0" w:color="auto"/>
        <w:bottom w:val="none" w:sz="0" w:space="0" w:color="auto"/>
        <w:right w:val="none" w:sz="0" w:space="0" w:color="auto"/>
      </w:divBdr>
    </w:div>
    <w:div w:id="1917785203">
      <w:bodyDiv w:val="1"/>
      <w:marLeft w:val="0"/>
      <w:marRight w:val="0"/>
      <w:marTop w:val="0"/>
      <w:marBottom w:val="0"/>
      <w:divBdr>
        <w:top w:val="none" w:sz="0" w:space="0" w:color="auto"/>
        <w:left w:val="none" w:sz="0" w:space="0" w:color="auto"/>
        <w:bottom w:val="none" w:sz="0" w:space="0" w:color="auto"/>
        <w:right w:val="none" w:sz="0" w:space="0" w:color="auto"/>
      </w:divBdr>
    </w:div>
    <w:div w:id="1940260645">
      <w:bodyDiv w:val="1"/>
      <w:marLeft w:val="0"/>
      <w:marRight w:val="0"/>
      <w:marTop w:val="0"/>
      <w:marBottom w:val="0"/>
      <w:divBdr>
        <w:top w:val="none" w:sz="0" w:space="0" w:color="auto"/>
        <w:left w:val="none" w:sz="0" w:space="0" w:color="auto"/>
        <w:bottom w:val="none" w:sz="0" w:space="0" w:color="auto"/>
        <w:right w:val="none" w:sz="0" w:space="0" w:color="auto"/>
      </w:divBdr>
    </w:div>
    <w:div w:id="1957134077">
      <w:bodyDiv w:val="1"/>
      <w:marLeft w:val="0"/>
      <w:marRight w:val="0"/>
      <w:marTop w:val="0"/>
      <w:marBottom w:val="0"/>
      <w:divBdr>
        <w:top w:val="none" w:sz="0" w:space="0" w:color="auto"/>
        <w:left w:val="none" w:sz="0" w:space="0" w:color="auto"/>
        <w:bottom w:val="none" w:sz="0" w:space="0" w:color="auto"/>
        <w:right w:val="none" w:sz="0" w:space="0" w:color="auto"/>
      </w:divBdr>
    </w:div>
    <w:div w:id="2023121391">
      <w:bodyDiv w:val="1"/>
      <w:marLeft w:val="0"/>
      <w:marRight w:val="0"/>
      <w:marTop w:val="0"/>
      <w:marBottom w:val="0"/>
      <w:divBdr>
        <w:top w:val="none" w:sz="0" w:space="0" w:color="auto"/>
        <w:left w:val="none" w:sz="0" w:space="0" w:color="auto"/>
        <w:bottom w:val="none" w:sz="0" w:space="0" w:color="auto"/>
        <w:right w:val="none" w:sz="0" w:space="0" w:color="auto"/>
      </w:divBdr>
    </w:div>
    <w:div w:id="2051415764">
      <w:bodyDiv w:val="1"/>
      <w:marLeft w:val="0"/>
      <w:marRight w:val="0"/>
      <w:marTop w:val="0"/>
      <w:marBottom w:val="0"/>
      <w:divBdr>
        <w:top w:val="none" w:sz="0" w:space="0" w:color="auto"/>
        <w:left w:val="none" w:sz="0" w:space="0" w:color="auto"/>
        <w:bottom w:val="none" w:sz="0" w:space="0" w:color="auto"/>
        <w:right w:val="none" w:sz="0" w:space="0" w:color="auto"/>
      </w:divBdr>
    </w:div>
    <w:div w:id="2066054617">
      <w:bodyDiv w:val="1"/>
      <w:marLeft w:val="0"/>
      <w:marRight w:val="0"/>
      <w:marTop w:val="0"/>
      <w:marBottom w:val="0"/>
      <w:divBdr>
        <w:top w:val="none" w:sz="0" w:space="0" w:color="auto"/>
        <w:left w:val="none" w:sz="0" w:space="0" w:color="auto"/>
        <w:bottom w:val="none" w:sz="0" w:space="0" w:color="auto"/>
        <w:right w:val="none" w:sz="0" w:space="0" w:color="auto"/>
      </w:divBdr>
    </w:div>
    <w:div w:id="20760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doba.gov.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conomia@cordoba.gov.a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cid:ii_15887dc710c2cc57" TargetMode="External"/><Relationship Id="rId1" Type="http://schemas.openxmlformats.org/officeDocument/2006/relationships/image" Target="media/image6.png"/><Relationship Id="rId6" Type="http://schemas.openxmlformats.org/officeDocument/2006/relationships/image" Target="media/image9.png"/><Relationship Id="rId5" Type="http://schemas.openxmlformats.org/officeDocument/2006/relationships/image" Target="cid:image010.jpg@01D36552.44B6CA30" TargetMode="External"/><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autoTitleDeleted val="1"/>
    <c:plotArea>
      <c:layout>
        <c:manualLayout>
          <c:layoutTarget val="inner"/>
          <c:xMode val="edge"/>
          <c:yMode val="edge"/>
          <c:x val="8.1809882460344624E-2"/>
          <c:y val="5.6065239551478088E-2"/>
          <c:w val="0.89086467452438023"/>
          <c:h val="0.74033607037652405"/>
        </c:manualLayout>
      </c:layout>
      <c:bar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'Estadisticas 2015-10-31'!$A$18:$A$54</c:f>
              <c:numCache>
                <c:formatCode>mmm\-yy</c:formatCode>
                <c:ptCount val="37"/>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pt idx="12">
                  <c:v>42736</c:v>
                </c:pt>
                <c:pt idx="13">
                  <c:v>42767</c:v>
                </c:pt>
                <c:pt idx="14">
                  <c:v>42795</c:v>
                </c:pt>
                <c:pt idx="15">
                  <c:v>42826</c:v>
                </c:pt>
                <c:pt idx="16">
                  <c:v>42856</c:v>
                </c:pt>
                <c:pt idx="17">
                  <c:v>42887</c:v>
                </c:pt>
                <c:pt idx="18">
                  <c:v>42917</c:v>
                </c:pt>
                <c:pt idx="19">
                  <c:v>42948</c:v>
                </c:pt>
                <c:pt idx="20">
                  <c:v>42979</c:v>
                </c:pt>
                <c:pt idx="21">
                  <c:v>43009</c:v>
                </c:pt>
                <c:pt idx="22">
                  <c:v>43040</c:v>
                </c:pt>
                <c:pt idx="23">
                  <c:v>43070</c:v>
                </c:pt>
                <c:pt idx="24">
                  <c:v>43101</c:v>
                </c:pt>
                <c:pt idx="25">
                  <c:v>43132</c:v>
                </c:pt>
                <c:pt idx="26">
                  <c:v>43160</c:v>
                </c:pt>
                <c:pt idx="27">
                  <c:v>43191</c:v>
                </c:pt>
                <c:pt idx="28">
                  <c:v>43221</c:v>
                </c:pt>
                <c:pt idx="29">
                  <c:v>43252</c:v>
                </c:pt>
                <c:pt idx="30">
                  <c:v>43282</c:v>
                </c:pt>
                <c:pt idx="31">
                  <c:v>43313</c:v>
                </c:pt>
                <c:pt idx="32">
                  <c:v>43344</c:v>
                </c:pt>
                <c:pt idx="33">
                  <c:v>43374</c:v>
                </c:pt>
                <c:pt idx="34">
                  <c:v>43405</c:v>
                </c:pt>
                <c:pt idx="35">
                  <c:v>43435</c:v>
                </c:pt>
                <c:pt idx="36">
                  <c:v>43466</c:v>
                </c:pt>
              </c:numCache>
            </c:numRef>
          </c:cat>
          <c:val>
            <c:numRef>
              <c:f>'Estadisticas 2015-10-31'!$B$6:$B$47</c:f>
            </c:numRef>
          </c:val>
          <c:extLst xmlns:c16r2="http://schemas.microsoft.com/office/drawing/2015/06/chart">
            <c:ext xmlns:c16="http://schemas.microsoft.com/office/drawing/2014/chart" uri="{C3380CC4-5D6E-409C-BE32-E72D297353CC}">
              <c16:uniqueId val="{00000000-E3D2-4162-916E-AD134D3FCF1E}"/>
            </c:ext>
          </c:extLst>
        </c:ser>
        <c:ser>
          <c:idx val="1"/>
          <c:order val="1"/>
          <c:spPr>
            <a:gradFill rotWithShape="1">
              <a:gsLst>
                <a:gs pos="69040">
                  <a:srgbClr val="B5CF8A"/>
                </a:gs>
                <a:gs pos="0">
                  <a:schemeClr val="accent3">
                    <a:tint val="77000"/>
                    <a:shade val="51000"/>
                    <a:satMod val="130000"/>
                  </a:schemeClr>
                </a:gs>
                <a:gs pos="60000">
                  <a:schemeClr val="accent3">
                    <a:tint val="77000"/>
                    <a:shade val="93000"/>
                    <a:satMod val="130000"/>
                  </a:schemeClr>
                </a:gs>
                <a:gs pos="88000">
                  <a:schemeClr val="accent3">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cat>
            <c:numRef>
              <c:f>'Estadisticas 2015-10-31'!$A$18:$A$54</c:f>
              <c:numCache>
                <c:formatCode>mmm\-yy</c:formatCode>
                <c:ptCount val="37"/>
                <c:pt idx="0">
                  <c:v>42370</c:v>
                </c:pt>
                <c:pt idx="1">
                  <c:v>42401</c:v>
                </c:pt>
                <c:pt idx="2">
                  <c:v>42430</c:v>
                </c:pt>
                <c:pt idx="3">
                  <c:v>42461</c:v>
                </c:pt>
                <c:pt idx="4">
                  <c:v>42491</c:v>
                </c:pt>
                <c:pt idx="5">
                  <c:v>42522</c:v>
                </c:pt>
                <c:pt idx="6">
                  <c:v>42552</c:v>
                </c:pt>
                <c:pt idx="7">
                  <c:v>42583</c:v>
                </c:pt>
                <c:pt idx="8">
                  <c:v>42614</c:v>
                </c:pt>
                <c:pt idx="9">
                  <c:v>42644</c:v>
                </c:pt>
                <c:pt idx="10">
                  <c:v>42675</c:v>
                </c:pt>
                <c:pt idx="11">
                  <c:v>42705</c:v>
                </c:pt>
                <c:pt idx="12">
                  <c:v>42736</c:v>
                </c:pt>
                <c:pt idx="13">
                  <c:v>42767</c:v>
                </c:pt>
                <c:pt idx="14">
                  <c:v>42795</c:v>
                </c:pt>
                <c:pt idx="15">
                  <c:v>42826</c:v>
                </c:pt>
                <c:pt idx="16">
                  <c:v>42856</c:v>
                </c:pt>
                <c:pt idx="17">
                  <c:v>42887</c:v>
                </c:pt>
                <c:pt idx="18">
                  <c:v>42917</c:v>
                </c:pt>
                <c:pt idx="19">
                  <c:v>42948</c:v>
                </c:pt>
                <c:pt idx="20">
                  <c:v>42979</c:v>
                </c:pt>
                <c:pt idx="21">
                  <c:v>43009</c:v>
                </c:pt>
                <c:pt idx="22">
                  <c:v>43040</c:v>
                </c:pt>
                <c:pt idx="23">
                  <c:v>43070</c:v>
                </c:pt>
                <c:pt idx="24">
                  <c:v>43101</c:v>
                </c:pt>
                <c:pt idx="25">
                  <c:v>43132</c:v>
                </c:pt>
                <c:pt idx="26">
                  <c:v>43160</c:v>
                </c:pt>
                <c:pt idx="27">
                  <c:v>43191</c:v>
                </c:pt>
                <c:pt idx="28">
                  <c:v>43221</c:v>
                </c:pt>
                <c:pt idx="29">
                  <c:v>43252</c:v>
                </c:pt>
                <c:pt idx="30">
                  <c:v>43282</c:v>
                </c:pt>
                <c:pt idx="31">
                  <c:v>43313</c:v>
                </c:pt>
                <c:pt idx="32">
                  <c:v>43344</c:v>
                </c:pt>
                <c:pt idx="33">
                  <c:v>43374</c:v>
                </c:pt>
                <c:pt idx="34">
                  <c:v>43405</c:v>
                </c:pt>
                <c:pt idx="35">
                  <c:v>43435</c:v>
                </c:pt>
                <c:pt idx="36">
                  <c:v>43466</c:v>
                </c:pt>
              </c:numCache>
            </c:numRef>
          </c:cat>
          <c:val>
            <c:numRef>
              <c:f>'Estadisticas 2015-10-31'!$C$18:$C$54</c:f>
              <c:numCache>
                <c:formatCode>#,##0</c:formatCode>
                <c:ptCount val="37"/>
                <c:pt idx="0">
                  <c:v>229620397</c:v>
                </c:pt>
                <c:pt idx="1">
                  <c:v>233690664</c:v>
                </c:pt>
                <c:pt idx="2">
                  <c:v>242493788</c:v>
                </c:pt>
                <c:pt idx="3">
                  <c:v>241103119</c:v>
                </c:pt>
                <c:pt idx="4">
                  <c:v>245057708</c:v>
                </c:pt>
                <c:pt idx="5">
                  <c:v>245531537</c:v>
                </c:pt>
                <c:pt idx="6">
                  <c:v>260795684</c:v>
                </c:pt>
                <c:pt idx="7">
                  <c:v>276119258</c:v>
                </c:pt>
                <c:pt idx="8">
                  <c:v>275167897</c:v>
                </c:pt>
                <c:pt idx="9">
                  <c:v>277903747</c:v>
                </c:pt>
                <c:pt idx="10">
                  <c:v>298798025</c:v>
                </c:pt>
                <c:pt idx="11">
                  <c:v>325648719</c:v>
                </c:pt>
                <c:pt idx="12">
                  <c:v>317877399</c:v>
                </c:pt>
                <c:pt idx="13">
                  <c:v>302220283</c:v>
                </c:pt>
                <c:pt idx="14">
                  <c:v>342006016</c:v>
                </c:pt>
                <c:pt idx="15">
                  <c:v>335646903</c:v>
                </c:pt>
                <c:pt idx="16">
                  <c:v>356459568</c:v>
                </c:pt>
                <c:pt idx="17">
                  <c:v>366591553</c:v>
                </c:pt>
                <c:pt idx="18">
                  <c:v>374556033</c:v>
                </c:pt>
                <c:pt idx="19">
                  <c:v>393651674</c:v>
                </c:pt>
                <c:pt idx="20">
                  <c:v>392785228</c:v>
                </c:pt>
                <c:pt idx="21">
                  <c:v>408394412</c:v>
                </c:pt>
                <c:pt idx="22">
                  <c:v>412052211</c:v>
                </c:pt>
                <c:pt idx="23">
                  <c:v>474231802</c:v>
                </c:pt>
                <c:pt idx="24">
                  <c:v>439477449</c:v>
                </c:pt>
                <c:pt idx="25">
                  <c:v>428595832</c:v>
                </c:pt>
                <c:pt idx="26">
                  <c:v>466964815</c:v>
                </c:pt>
                <c:pt idx="27">
                  <c:v>476660368</c:v>
                </c:pt>
                <c:pt idx="28">
                  <c:v>498981682</c:v>
                </c:pt>
                <c:pt idx="29">
                  <c:v>501971881</c:v>
                </c:pt>
                <c:pt idx="30">
                  <c:v>526322901</c:v>
                </c:pt>
                <c:pt idx="31">
                  <c:v>565883136</c:v>
                </c:pt>
                <c:pt idx="32">
                  <c:v>580400393</c:v>
                </c:pt>
                <c:pt idx="33">
                  <c:v>576894600</c:v>
                </c:pt>
                <c:pt idx="34">
                  <c:v>578830506</c:v>
                </c:pt>
                <c:pt idx="35">
                  <c:v>639861694</c:v>
                </c:pt>
                <c:pt idx="36" formatCode="0.00">
                  <c:v>574590432</c:v>
                </c:pt>
              </c:numCache>
            </c:numRef>
          </c:val>
          <c:extLst xmlns:c16r2="http://schemas.microsoft.com/office/drawing/2015/06/chart">
            <c:ext xmlns:c16="http://schemas.microsoft.com/office/drawing/2014/chart" uri="{C3380CC4-5D6E-409C-BE32-E72D297353CC}">
              <c16:uniqueId val="{00000001-E3D2-4162-916E-AD134D3FCF1E}"/>
            </c:ext>
          </c:extLst>
        </c:ser>
        <c:dLbls/>
        <c:gapWidth val="75"/>
        <c:overlap val="1"/>
        <c:axId val="113948928"/>
        <c:axId val="113950720"/>
      </c:barChart>
      <c:dateAx>
        <c:axId val="113948928"/>
        <c:scaling>
          <c:orientation val="minMax"/>
        </c:scaling>
        <c:axPos val="b"/>
        <c:numFmt formatCode="mmm\-yy" sourceLinked="1"/>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13950720"/>
        <c:crosses val="autoZero"/>
        <c:auto val="1"/>
        <c:lblOffset val="100"/>
        <c:baseTimeUnit val="months"/>
      </c:dateAx>
      <c:valAx>
        <c:axId val="1139507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AR"/>
                  <a:t>Millones de Pesos</a:t>
                </a:r>
              </a:p>
            </c:rich>
          </c:tx>
          <c:layout>
            <c:manualLayout>
              <c:xMode val="edge"/>
              <c:yMode val="edge"/>
              <c:x val="1.0555745749172669E-3"/>
              <c:y val="0.31554255259376984"/>
            </c:manualLayout>
          </c:layout>
          <c:spPr>
            <a:noFill/>
            <a:ln>
              <a:noFill/>
            </a:ln>
            <a:effectLst/>
          </c:spPr>
        </c:title>
        <c:numFmt formatCode="#,###,," sourceLinked="0"/>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13948928"/>
        <c:crosses val="autoZero"/>
        <c:crossBetween val="between"/>
      </c:valAx>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0CACA-B2F8-4824-9E05-BC1791F8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2764</Words>
  <Characters>14600</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FIDEICOMISO FINANCIERO</vt:lpstr>
    </vt:vector>
  </TitlesOfParts>
  <Company>Cohen SA</Company>
  <LinksUpToDate>false</LinksUpToDate>
  <CharactersWithSpaces>17330</CharactersWithSpaces>
  <SharedDoc>false</SharedDoc>
  <HLinks>
    <vt:vector size="24" baseType="variant">
      <vt:variant>
        <vt:i4>7012388</vt:i4>
      </vt:variant>
      <vt:variant>
        <vt:i4>3</vt:i4>
      </vt:variant>
      <vt:variant>
        <vt:i4>0</vt:i4>
      </vt:variant>
      <vt:variant>
        <vt:i4>5</vt:i4>
      </vt:variant>
      <vt:variant>
        <vt:lpwstr>http://www.cordoba.gov.ar/</vt:lpwstr>
      </vt:variant>
      <vt:variant>
        <vt:lpwstr/>
      </vt:variant>
      <vt:variant>
        <vt:i4>5898276</vt:i4>
      </vt:variant>
      <vt:variant>
        <vt:i4>0</vt:i4>
      </vt:variant>
      <vt:variant>
        <vt:i4>0</vt:i4>
      </vt:variant>
      <vt:variant>
        <vt:i4>5</vt:i4>
      </vt:variant>
      <vt:variant>
        <vt:lpwstr>mailto:economia@cordoba.gov.ar</vt:lpwstr>
      </vt:variant>
      <vt:variant>
        <vt:lpwstr/>
      </vt:variant>
      <vt:variant>
        <vt:i4>8257606</vt:i4>
      </vt:variant>
      <vt:variant>
        <vt:i4>21106</vt:i4>
      </vt:variant>
      <vt:variant>
        <vt:i4>1026</vt:i4>
      </vt:variant>
      <vt:variant>
        <vt:i4>1</vt:i4>
      </vt:variant>
      <vt:variant>
        <vt:lpwstr>cid:image010.jpg@01D36552.44B6CA30</vt:lpwstr>
      </vt:variant>
      <vt:variant>
        <vt:lpwstr/>
      </vt:variant>
      <vt:variant>
        <vt:i4>6488078</vt:i4>
      </vt:variant>
      <vt:variant>
        <vt:i4>21179</vt:i4>
      </vt:variant>
      <vt:variant>
        <vt:i4>1027</vt:i4>
      </vt:variant>
      <vt:variant>
        <vt:i4>1</vt:i4>
      </vt:variant>
      <vt:variant>
        <vt:lpwstr>cid:ii_15887dc710c2cc57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FIDEICOMISO FINANCIERO</dc:title>
  <dc:creator>Agustin Bahl</dc:creator>
  <cp:lastModifiedBy>tlujambio</cp:lastModifiedBy>
  <cp:revision>2</cp:revision>
  <cp:lastPrinted>2019-02-18T14:50:00Z</cp:lastPrinted>
  <dcterms:created xsi:type="dcterms:W3CDTF">2019-03-25T21:37:00Z</dcterms:created>
  <dcterms:modified xsi:type="dcterms:W3CDTF">2019-03-25T21:37:00Z</dcterms:modified>
</cp:coreProperties>
</file>